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4" w:type="dxa"/>
        <w:jc w:val="center"/>
        <w:tblBorders>
          <w:top w:val="single" w:sz="4" w:space="0" w:color="auto"/>
          <w:bottom w:val="single" w:sz="24"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8D324D" w:rsidRPr="00263C6E" w:rsidTr="00263C6E">
        <w:trPr>
          <w:trHeight w:val="1008"/>
          <w:jc w:val="center"/>
        </w:trPr>
        <w:tc>
          <w:tcPr>
            <w:tcW w:w="2347" w:type="dxa"/>
            <w:gridSpan w:val="2"/>
            <w:vMerge w:val="restart"/>
            <w:tcBorders>
              <w:top w:val="single" w:sz="18" w:space="0" w:color="auto"/>
              <w:right w:val="nil"/>
            </w:tcBorders>
            <w:shd w:val="clear" w:color="auto" w:fill="auto"/>
            <w:vAlign w:val="center"/>
          </w:tcPr>
          <w:p w:rsidR="008D324D" w:rsidRPr="00263C6E" w:rsidRDefault="008D324D" w:rsidP="008D324D">
            <w:pPr>
              <w:spacing w:after="0" w:line="240" w:lineRule="auto"/>
              <w:ind w:left="-115"/>
              <w:jc w:val="both"/>
              <w:rPr>
                <w:rFonts w:cs="Calibri"/>
                <w:sz w:val="24"/>
                <w:lang w:val="en-GB"/>
              </w:rPr>
            </w:pPr>
            <w:r>
              <w:rPr>
                <w:rFonts w:cs="Calibri"/>
                <w:noProof/>
                <w:sz w:val="24"/>
              </w:rPr>
              <w:drawing>
                <wp:inline distT="0" distB="0" distL="0" distR="0" wp14:anchorId="5DDC666C" wp14:editId="6B5228C1">
                  <wp:extent cx="1417955" cy="3429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955" cy="342900"/>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shd w:val="clear" w:color="auto" w:fill="auto"/>
            <w:vAlign w:val="center"/>
          </w:tcPr>
          <w:p w:rsidR="008D324D" w:rsidRPr="00263C6E" w:rsidRDefault="008D324D" w:rsidP="008D324D">
            <w:pPr>
              <w:spacing w:before="280" w:after="0"/>
              <w:jc w:val="center"/>
              <w:rPr>
                <w:rFonts w:ascii="Times New Roman" w:hAnsi="Times New Roman" w:cs="Times New Roman"/>
                <w:sz w:val="24"/>
                <w:lang w:val="en-GB"/>
              </w:rPr>
            </w:pPr>
            <w:r w:rsidRPr="00263C6E">
              <w:rPr>
                <w:rFonts w:ascii="Times New Roman" w:hAnsi="Times New Roman" w:cs="Times New Roman"/>
                <w:sz w:val="28"/>
                <w:szCs w:val="24"/>
                <w:lang w:val="en-GB"/>
              </w:rPr>
              <w:t xml:space="preserve">Journal of Advanced Research </w:t>
            </w:r>
            <w:r>
              <w:rPr>
                <w:rFonts w:ascii="Times New Roman" w:hAnsi="Times New Roman" w:cs="Times New Roman"/>
                <w:sz w:val="28"/>
                <w:szCs w:val="24"/>
                <w:lang w:val="en-GB"/>
              </w:rPr>
              <w:t>in Occupational Safety and Health</w:t>
            </w:r>
          </w:p>
        </w:tc>
        <w:tc>
          <w:tcPr>
            <w:tcW w:w="2347" w:type="dxa"/>
            <w:gridSpan w:val="3"/>
            <w:vMerge w:val="restart"/>
            <w:tcBorders>
              <w:top w:val="single" w:sz="18" w:space="0" w:color="auto"/>
              <w:left w:val="nil"/>
            </w:tcBorders>
            <w:shd w:val="clear" w:color="auto" w:fill="auto"/>
            <w:vAlign w:val="center"/>
          </w:tcPr>
          <w:p w:rsidR="008D324D" w:rsidRPr="00263C6E" w:rsidRDefault="00A351B9" w:rsidP="008D324D">
            <w:pPr>
              <w:spacing w:after="0" w:line="240" w:lineRule="auto"/>
              <w:ind w:right="-115"/>
              <w:jc w:val="right"/>
              <w:rPr>
                <w:rFonts w:cs="Calibri"/>
                <w:sz w:val="24"/>
                <w:lang w:val="en-GB"/>
              </w:rPr>
            </w:pPr>
            <w:r>
              <w:rPr>
                <w:noProof/>
              </w:rPr>
              <w:drawing>
                <wp:inline distT="0" distB="0" distL="0" distR="0" wp14:anchorId="37694CC7" wp14:editId="3DF21F6B">
                  <wp:extent cx="788035" cy="1079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788035" cy="1079500"/>
                          </a:xfrm>
                          <a:prstGeom prst="rect">
                            <a:avLst/>
                          </a:prstGeom>
                        </pic:spPr>
                      </pic:pic>
                    </a:graphicData>
                  </a:graphic>
                </wp:inline>
              </w:drawing>
            </w:r>
          </w:p>
        </w:tc>
      </w:tr>
      <w:tr w:rsidR="008D324D" w:rsidRPr="00263C6E" w:rsidTr="00263C6E">
        <w:trPr>
          <w:trHeight w:val="20"/>
          <w:jc w:val="center"/>
        </w:trPr>
        <w:tc>
          <w:tcPr>
            <w:tcW w:w="2347" w:type="dxa"/>
            <w:gridSpan w:val="2"/>
            <w:vMerge/>
            <w:tcBorders>
              <w:bottom w:val="single" w:sz="18" w:space="0" w:color="auto"/>
              <w:right w:val="nil"/>
            </w:tcBorders>
            <w:shd w:val="clear" w:color="auto" w:fill="auto"/>
          </w:tcPr>
          <w:p w:rsidR="008D324D" w:rsidRPr="00263C6E" w:rsidRDefault="008D324D" w:rsidP="008D324D">
            <w:pPr>
              <w:spacing w:after="0" w:line="240" w:lineRule="auto"/>
              <w:jc w:val="both"/>
              <w:rPr>
                <w:rFonts w:cs="Calibri"/>
                <w:sz w:val="24"/>
                <w:lang w:val="en-GB"/>
              </w:rPr>
            </w:pPr>
          </w:p>
        </w:tc>
        <w:tc>
          <w:tcPr>
            <w:tcW w:w="5040" w:type="dxa"/>
            <w:gridSpan w:val="2"/>
            <w:tcBorders>
              <w:top w:val="nil"/>
              <w:left w:val="nil"/>
              <w:bottom w:val="single" w:sz="18" w:space="0" w:color="auto"/>
              <w:right w:val="nil"/>
            </w:tcBorders>
            <w:shd w:val="clear" w:color="auto" w:fill="auto"/>
            <w:vAlign w:val="center"/>
          </w:tcPr>
          <w:p w:rsidR="008D324D" w:rsidRPr="00263C6E" w:rsidRDefault="008D324D" w:rsidP="008D324D">
            <w:pPr>
              <w:spacing w:before="120" w:after="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w:t>
            </w:r>
            <w:r>
              <w:rPr>
                <w:rFonts w:cs="Calibri"/>
                <w:color w:val="0070C0"/>
                <w:sz w:val="16"/>
                <w:szCs w:val="14"/>
                <w:lang w:val="en-GB"/>
              </w:rPr>
              <w:t>osh</w:t>
            </w:r>
            <w:r w:rsidRPr="00263C6E">
              <w:rPr>
                <w:rFonts w:cs="Calibri"/>
                <w:color w:val="0070C0"/>
                <w:sz w:val="16"/>
                <w:szCs w:val="14"/>
                <w:lang w:val="en-GB"/>
              </w:rPr>
              <w:t>.html</w:t>
            </w:r>
          </w:p>
          <w:p w:rsidR="008D324D" w:rsidRPr="00263C6E" w:rsidRDefault="008D324D" w:rsidP="008D324D">
            <w:pPr>
              <w:spacing w:after="0"/>
              <w:jc w:val="center"/>
              <w:rPr>
                <w:rFonts w:cs="Calibri"/>
                <w:sz w:val="24"/>
                <w:lang w:val="en-GB"/>
              </w:rPr>
            </w:pPr>
            <w:r>
              <w:rPr>
                <w:rFonts w:cs="Calibri"/>
                <w:sz w:val="16"/>
                <w:szCs w:val="14"/>
                <w:lang w:val="en-GB"/>
              </w:rPr>
              <w:t>ISSN: XXXX</w:t>
            </w:r>
            <w:r w:rsidRPr="00263C6E">
              <w:rPr>
                <w:rFonts w:cs="Calibri"/>
                <w:sz w:val="16"/>
                <w:szCs w:val="14"/>
                <w:lang w:val="en-GB"/>
              </w:rPr>
              <w:t>-</w:t>
            </w:r>
            <w:r>
              <w:rPr>
                <w:rFonts w:cs="Calibri"/>
                <w:sz w:val="16"/>
                <w:szCs w:val="14"/>
                <w:lang w:val="en-GB"/>
              </w:rPr>
              <w:t>XXXX</w:t>
            </w:r>
          </w:p>
        </w:tc>
        <w:tc>
          <w:tcPr>
            <w:tcW w:w="2347" w:type="dxa"/>
            <w:gridSpan w:val="3"/>
            <w:vMerge/>
            <w:tcBorders>
              <w:left w:val="nil"/>
              <w:bottom w:val="single" w:sz="18" w:space="0" w:color="auto"/>
            </w:tcBorders>
            <w:shd w:val="clear" w:color="auto" w:fill="auto"/>
          </w:tcPr>
          <w:p w:rsidR="008D324D" w:rsidRPr="00263C6E" w:rsidRDefault="008D324D" w:rsidP="008D324D">
            <w:pPr>
              <w:spacing w:after="0" w:line="240" w:lineRule="auto"/>
              <w:jc w:val="both"/>
              <w:rPr>
                <w:rFonts w:cs="Calibri"/>
                <w:sz w:val="24"/>
                <w:lang w:val="en-GB"/>
              </w:rPr>
            </w:pPr>
          </w:p>
        </w:tc>
      </w:tr>
      <w:tr w:rsidR="00263C6E" w:rsidRPr="00263C6E" w:rsidTr="00263C6E">
        <w:trPr>
          <w:trHeight w:val="20"/>
          <w:jc w:val="center"/>
        </w:trPr>
        <w:tc>
          <w:tcPr>
            <w:tcW w:w="9734" w:type="dxa"/>
            <w:gridSpan w:val="7"/>
            <w:tcBorders>
              <w:top w:val="nil"/>
              <w:bottom w:val="nil"/>
            </w:tcBorders>
            <w:shd w:val="clear" w:color="auto" w:fill="auto"/>
            <w:vAlign w:val="center"/>
          </w:tcPr>
          <w:p w:rsidR="00B62E7D" w:rsidRPr="00263C6E" w:rsidRDefault="00B62E7D" w:rsidP="00263C6E">
            <w:pPr>
              <w:spacing w:after="0" w:line="240" w:lineRule="auto"/>
              <w:jc w:val="both"/>
              <w:rPr>
                <w:rFonts w:cs="Calibri"/>
                <w:sz w:val="24"/>
                <w:szCs w:val="24"/>
                <w:lang w:val="en-GB"/>
              </w:rPr>
            </w:pPr>
          </w:p>
        </w:tc>
      </w:tr>
      <w:tr w:rsidR="00263C6E" w:rsidRPr="00263C6E" w:rsidTr="00263C6E">
        <w:trPr>
          <w:trHeight w:val="20"/>
          <w:jc w:val="center"/>
        </w:trPr>
        <w:tc>
          <w:tcPr>
            <w:tcW w:w="8190" w:type="dxa"/>
            <w:gridSpan w:val="5"/>
            <w:tcBorders>
              <w:top w:val="nil"/>
              <w:bottom w:val="nil"/>
              <w:right w:val="nil"/>
            </w:tcBorders>
            <w:shd w:val="clear" w:color="auto" w:fill="auto"/>
            <w:vAlign w:val="center"/>
          </w:tcPr>
          <w:p w:rsidR="00B62E7D" w:rsidRPr="0063326D" w:rsidRDefault="005E5A35" w:rsidP="00961932">
            <w:pPr>
              <w:spacing w:after="0" w:line="240" w:lineRule="auto"/>
              <w:ind w:left="-115"/>
              <w:rPr>
                <w:rFonts w:cs="Calibri"/>
                <w:sz w:val="32"/>
                <w:szCs w:val="32"/>
                <w:lang w:val="en-GB"/>
              </w:rPr>
            </w:pPr>
            <w:r>
              <w:rPr>
                <w:rFonts w:cs="Calibri"/>
                <w:sz w:val="32"/>
                <w:szCs w:val="32"/>
                <w:lang w:val="en-GB"/>
              </w:rPr>
              <w:t>Title of Manuscript</w:t>
            </w:r>
          </w:p>
        </w:tc>
        <w:tc>
          <w:tcPr>
            <w:tcW w:w="1544" w:type="dxa"/>
            <w:gridSpan w:val="2"/>
            <w:tcBorders>
              <w:top w:val="nil"/>
              <w:left w:val="nil"/>
              <w:bottom w:val="nil"/>
            </w:tcBorders>
            <w:shd w:val="clear" w:color="auto" w:fill="auto"/>
            <w:vAlign w:val="center"/>
          </w:tcPr>
          <w:p w:rsidR="00B62E7D" w:rsidRPr="00263C6E" w:rsidRDefault="00A35F07" w:rsidP="00263C6E">
            <w:pPr>
              <w:spacing w:after="0" w:line="240" w:lineRule="auto"/>
              <w:ind w:right="-115"/>
              <w:jc w:val="right"/>
              <w:rPr>
                <w:rFonts w:cs="Calibri"/>
                <w:sz w:val="24"/>
                <w:szCs w:val="24"/>
                <w:lang w:val="en-GB"/>
              </w:rPr>
            </w:pPr>
            <w:r>
              <w:rPr>
                <w:rFonts w:cs="Calibri"/>
                <w:noProof/>
              </w:rPr>
              <mc:AlternateContent>
                <mc:Choice Requires="wps">
                  <w:drawing>
                    <wp:inline distT="0" distB="0" distL="0" distR="0">
                      <wp:extent cx="822960" cy="365760"/>
                      <wp:effectExtent l="3175" t="2540" r="2540" b="31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flowChartOnlineStorage">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26D" w:rsidRPr="00B62E7D" w:rsidRDefault="0063326D" w:rsidP="00B62E7D">
                                  <w:pPr>
                                    <w:spacing w:before="30" w:after="0"/>
                                    <w:ind w:left="-144"/>
                                    <w:jc w:val="center"/>
                                    <w:rPr>
                                      <w:rFonts w:ascii="Arial" w:hAnsi="Arial"/>
                                      <w:bCs/>
                                      <w:color w:val="FFFFFF"/>
                                      <w:sz w:val="16"/>
                                      <w:szCs w:val="16"/>
                                    </w:rPr>
                                  </w:pPr>
                                  <w:r w:rsidRPr="00B62E7D">
                                    <w:rPr>
                                      <w:rFonts w:ascii="Arial" w:hAnsi="Arial"/>
                                      <w:bCs/>
                                      <w:color w:val="FFFFFF"/>
                                      <w:sz w:val="16"/>
                                      <w:szCs w:val="16"/>
                                    </w:rPr>
                                    <w:t>Open</w:t>
                                  </w:r>
                                </w:p>
                                <w:p w:rsidR="0063326D" w:rsidRPr="00B62E7D" w:rsidRDefault="0063326D" w:rsidP="00B62E7D">
                                  <w:pPr>
                                    <w:spacing w:after="0"/>
                                    <w:ind w:left="-144"/>
                                    <w:jc w:val="center"/>
                                    <w:rPr>
                                      <w:rFonts w:ascii="Arial" w:hAnsi="Arial"/>
                                      <w:bCs/>
                                      <w:color w:val="FFFFFF"/>
                                      <w:sz w:val="16"/>
                                      <w:szCs w:val="16"/>
                                    </w:rPr>
                                  </w:pPr>
                                  <w:r w:rsidRPr="00B62E7D">
                                    <w:rPr>
                                      <w:rFonts w:ascii="Arial" w:hAnsi="Arial"/>
                                      <w:bCs/>
                                      <w:color w:val="FFFFFF"/>
                                      <w:sz w:val="16"/>
                                      <w:szCs w:val="16"/>
                                    </w:rPr>
                                    <w:t>Access</w:t>
                                  </w:r>
                                </w:p>
                              </w:txbxContent>
                            </wps:txbx>
                            <wps:bodyPr rot="0" vert="horz" wrap="square" lIns="91440" tIns="45720" rIns="91440" bIns="45720" anchor="t" anchorCtr="0" upright="1">
                              <a:noAutofit/>
                            </wps:bodyPr>
                          </wps:wsp>
                        </a:graphicData>
                      </a:graphic>
                    </wp:inline>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" fillcolor="#0070c0" stroked="f">
                      <v:textbox>
                        <w:txbxContent>
                          <w:p w:rsidR="0063326D" w:rsidRPr="00B62E7D" w:rsidRDefault="0063326D" w:rsidP="00B62E7D">
                            <w:pPr>
                              <w:spacing w:before="30" w:after="0"/>
                              <w:ind w:left="-144"/>
                              <w:jc w:val="center"/>
                              <w:rPr>
                                <w:rFonts w:ascii="Arial" w:hAnsi="Arial"/>
                                <w:bCs/>
                                <w:color w:val="FFFFFF"/>
                                <w:sz w:val="16"/>
                                <w:szCs w:val="16"/>
                              </w:rPr>
                            </w:pPr>
                            <w:r w:rsidRPr="00B62E7D">
                              <w:rPr>
                                <w:rFonts w:ascii="Arial" w:hAnsi="Arial"/>
                                <w:bCs/>
                                <w:color w:val="FFFFFF"/>
                                <w:sz w:val="16"/>
                                <w:szCs w:val="16"/>
                              </w:rPr>
                              <w:t>Open</w:t>
                            </w:r>
                          </w:p>
                          <w:p w:rsidR="0063326D" w:rsidRPr="00B62E7D" w:rsidRDefault="0063326D" w:rsidP="00B62E7D">
                            <w:pPr>
                              <w:spacing w:after="0"/>
                              <w:ind w:left="-144"/>
                              <w:jc w:val="center"/>
                              <w:rPr>
                                <w:rFonts w:ascii="Arial" w:hAnsi="Arial"/>
                                <w:bCs/>
                                <w:color w:val="FFFFFF"/>
                                <w:sz w:val="16"/>
                                <w:szCs w:val="16"/>
                              </w:rPr>
                            </w:pPr>
                            <w:r w:rsidRPr="00B62E7D">
                              <w:rPr>
                                <w:rFonts w:ascii="Arial" w:hAnsi="Arial"/>
                                <w:bCs/>
                                <w:color w:val="FFFFFF"/>
                                <w:sz w:val="16"/>
                                <w:szCs w:val="16"/>
                              </w:rPr>
                              <w:t>Access</w:t>
                            </w:r>
                          </w:p>
                        </w:txbxContent>
                      </v:textbox>
                      <w10:anchorlock/>
                    </v:shape>
                  </w:pict>
                </mc:Fallback>
              </mc:AlternateContent>
            </w:r>
          </w:p>
        </w:tc>
      </w:tr>
      <w:tr w:rsidR="00263C6E" w:rsidRPr="00263C6E" w:rsidTr="00263C6E">
        <w:trPr>
          <w:trHeight w:val="20"/>
          <w:jc w:val="center"/>
        </w:trPr>
        <w:tc>
          <w:tcPr>
            <w:tcW w:w="9734" w:type="dxa"/>
            <w:gridSpan w:val="7"/>
            <w:tcBorders>
              <w:top w:val="nil"/>
              <w:bottom w:val="nil"/>
            </w:tcBorders>
            <w:shd w:val="clear" w:color="auto" w:fill="auto"/>
            <w:vAlign w:val="center"/>
          </w:tcPr>
          <w:p w:rsidR="00B62E7D" w:rsidRPr="00263C6E" w:rsidRDefault="00B62E7D" w:rsidP="00263C6E">
            <w:pPr>
              <w:spacing w:after="0" w:line="240" w:lineRule="auto"/>
              <w:jc w:val="both"/>
              <w:rPr>
                <w:rFonts w:cs="Calibri"/>
                <w:noProof/>
                <w:sz w:val="24"/>
                <w:szCs w:val="24"/>
                <w:lang w:val="en-GB"/>
              </w:rPr>
            </w:pPr>
          </w:p>
        </w:tc>
      </w:tr>
      <w:tr w:rsidR="00263C6E" w:rsidRPr="00263C6E" w:rsidTr="00263C6E">
        <w:trPr>
          <w:trHeight w:val="20"/>
          <w:jc w:val="center"/>
        </w:trPr>
        <w:tc>
          <w:tcPr>
            <w:tcW w:w="9734" w:type="dxa"/>
            <w:gridSpan w:val="7"/>
            <w:tcBorders>
              <w:top w:val="nil"/>
              <w:bottom w:val="nil"/>
            </w:tcBorders>
            <w:shd w:val="clear" w:color="auto" w:fill="auto"/>
            <w:vAlign w:val="center"/>
          </w:tcPr>
          <w:p w:rsidR="00B62E7D" w:rsidRPr="00263C6E" w:rsidRDefault="005E5A35" w:rsidP="009B16CA">
            <w:pPr>
              <w:spacing w:after="0" w:line="240" w:lineRule="auto"/>
              <w:ind w:left="-101"/>
              <w:jc w:val="both"/>
              <w:rPr>
                <w:rFonts w:cs="Calibri"/>
                <w:noProof/>
                <w:sz w:val="28"/>
                <w:szCs w:val="28"/>
                <w:lang w:val="en-GB"/>
              </w:rPr>
            </w:pPr>
            <w:r>
              <w:rPr>
                <w:rFonts w:eastAsia="Times New Roman" w:cs="Calibri"/>
                <w:iCs/>
                <w:sz w:val="24"/>
                <w:szCs w:val="24"/>
                <w:lang w:val="en-GB"/>
              </w:rPr>
              <w:t>Full Name</w:t>
            </w:r>
            <w:proofErr w:type="gramStart"/>
            <w:r w:rsidR="009B16CA" w:rsidRPr="008D324D">
              <w:rPr>
                <w:rFonts w:eastAsia="Times New Roman" w:cs="Calibri"/>
                <w:iCs/>
                <w:sz w:val="24"/>
                <w:szCs w:val="24"/>
                <w:vertAlign w:val="superscript"/>
                <w:lang w:val="en-GB"/>
              </w:rPr>
              <w:t>1</w:t>
            </w:r>
            <w:r w:rsidR="009B16CA">
              <w:rPr>
                <w:rFonts w:eastAsia="Times New Roman" w:cs="Calibri"/>
                <w:iCs/>
                <w:sz w:val="24"/>
                <w:szCs w:val="24"/>
                <w:lang w:val="en-GB"/>
              </w:rPr>
              <w:t xml:space="preserve">, </w:t>
            </w:r>
            <w:r w:rsidR="009B16CA" w:rsidRPr="009B16CA">
              <w:rPr>
                <w:rFonts w:eastAsia="Times New Roman" w:cs="Calibri"/>
                <w:iCs/>
                <w:sz w:val="24"/>
                <w:szCs w:val="24"/>
                <w:lang w:val="en-GB"/>
              </w:rPr>
              <w:t xml:space="preserve"> </w:t>
            </w:r>
            <w:r>
              <w:rPr>
                <w:rFonts w:eastAsia="Times New Roman" w:cs="Calibri"/>
                <w:iCs/>
                <w:sz w:val="24"/>
                <w:szCs w:val="24"/>
                <w:lang w:val="en-GB"/>
              </w:rPr>
              <w:t>Corresponding</w:t>
            </w:r>
            <w:proofErr w:type="gramEnd"/>
            <w:r>
              <w:rPr>
                <w:rFonts w:eastAsia="Times New Roman" w:cs="Calibri"/>
                <w:iCs/>
                <w:sz w:val="24"/>
                <w:szCs w:val="24"/>
                <w:lang w:val="en-GB"/>
              </w:rPr>
              <w:t xml:space="preserve"> Author</w:t>
            </w:r>
            <w:r w:rsidR="009B16CA" w:rsidRPr="008D324D">
              <w:rPr>
                <w:rFonts w:eastAsia="Times New Roman" w:cs="Calibri"/>
                <w:iCs/>
                <w:sz w:val="24"/>
                <w:szCs w:val="24"/>
                <w:vertAlign w:val="superscript"/>
                <w:lang w:val="en-GB"/>
              </w:rPr>
              <w:t>1,</w:t>
            </w:r>
            <w:r w:rsidR="008D324D" w:rsidRPr="008D324D">
              <w:rPr>
                <w:rStyle w:val="FootnoteReference"/>
                <w:rFonts w:eastAsia="Times New Roman" w:cs="Calibri"/>
                <w:iCs/>
                <w:sz w:val="24"/>
                <w:szCs w:val="24"/>
                <w:lang w:val="en-GB"/>
              </w:rPr>
              <w:footnoteReference w:customMarkFollows="1" w:id="1"/>
              <w:sym w:font="Symbol" w:char="F02A"/>
            </w:r>
            <w:r w:rsidR="00B634CB">
              <w:t xml:space="preserve">, </w:t>
            </w:r>
            <w:proofErr w:type="spellStart"/>
            <w:r w:rsidR="009B16CA" w:rsidRPr="009B16CA">
              <w:rPr>
                <w:rFonts w:eastAsia="Times New Roman" w:cs="Calibri"/>
                <w:iCs/>
                <w:sz w:val="24"/>
                <w:szCs w:val="24"/>
                <w:lang w:val="en-GB"/>
              </w:rPr>
              <w:t>Sahnius</w:t>
            </w:r>
            <w:proofErr w:type="spellEnd"/>
            <w:r w:rsidR="009B16CA" w:rsidRPr="009B16CA">
              <w:rPr>
                <w:rFonts w:eastAsia="Times New Roman" w:cs="Calibri"/>
                <w:iCs/>
                <w:sz w:val="24"/>
                <w:szCs w:val="24"/>
                <w:lang w:val="en-GB"/>
              </w:rPr>
              <w:t xml:space="preserve"> Usman</w:t>
            </w:r>
            <w:r w:rsidR="009B16CA" w:rsidRPr="008D324D">
              <w:rPr>
                <w:rFonts w:eastAsia="Times New Roman" w:cs="Calibri"/>
                <w:iCs/>
                <w:sz w:val="24"/>
                <w:szCs w:val="24"/>
                <w:vertAlign w:val="superscript"/>
                <w:lang w:val="en-GB"/>
              </w:rPr>
              <w:t>2</w:t>
            </w:r>
            <w:r w:rsidR="009B16CA" w:rsidRPr="009B16CA">
              <w:rPr>
                <w:rFonts w:eastAsia="Times New Roman" w:cs="Calibri"/>
                <w:iCs/>
                <w:sz w:val="24"/>
                <w:szCs w:val="24"/>
                <w:lang w:val="en-GB"/>
              </w:rPr>
              <w:t xml:space="preserve"> </w:t>
            </w:r>
          </w:p>
        </w:tc>
      </w:tr>
      <w:tr w:rsidR="00263C6E" w:rsidRPr="00263C6E" w:rsidTr="00263C6E">
        <w:trPr>
          <w:trHeight w:val="20"/>
          <w:jc w:val="center"/>
        </w:trPr>
        <w:tc>
          <w:tcPr>
            <w:tcW w:w="9734" w:type="dxa"/>
            <w:gridSpan w:val="7"/>
            <w:tcBorders>
              <w:top w:val="nil"/>
              <w:bottom w:val="nil"/>
            </w:tcBorders>
            <w:shd w:val="clear" w:color="auto" w:fill="auto"/>
            <w:vAlign w:val="center"/>
          </w:tcPr>
          <w:p w:rsidR="00B62E7D" w:rsidRPr="00263C6E" w:rsidRDefault="00B62E7D" w:rsidP="00263C6E">
            <w:pPr>
              <w:spacing w:after="0" w:line="240" w:lineRule="auto"/>
              <w:jc w:val="both"/>
              <w:rPr>
                <w:rFonts w:cs="Calibri"/>
                <w:noProof/>
                <w:sz w:val="24"/>
                <w:szCs w:val="24"/>
                <w:lang w:val="en-GB"/>
              </w:rPr>
            </w:pPr>
          </w:p>
        </w:tc>
      </w:tr>
      <w:tr w:rsidR="00263C6E" w:rsidRPr="00263C6E" w:rsidTr="00263C6E">
        <w:trPr>
          <w:gridAfter w:val="1"/>
          <w:wAfter w:w="34" w:type="dxa"/>
          <w:trHeight w:val="20"/>
          <w:jc w:val="center"/>
        </w:trPr>
        <w:tc>
          <w:tcPr>
            <w:tcW w:w="236" w:type="dxa"/>
            <w:tcBorders>
              <w:top w:val="nil"/>
              <w:bottom w:val="nil"/>
              <w:right w:val="nil"/>
            </w:tcBorders>
            <w:shd w:val="clear" w:color="auto" w:fill="auto"/>
          </w:tcPr>
          <w:p w:rsidR="00B62E7D" w:rsidRPr="00263C6E" w:rsidRDefault="00B62E7D" w:rsidP="00263C6E">
            <w:pPr>
              <w:spacing w:after="0" w:line="240" w:lineRule="auto"/>
              <w:ind w:left="-86"/>
              <w:jc w:val="both"/>
              <w:rPr>
                <w:rFonts w:eastAsia="Times New Roman" w:cs="Calibri"/>
                <w:iCs/>
                <w:sz w:val="16"/>
                <w:szCs w:val="16"/>
                <w:vertAlign w:val="superscript"/>
                <w:lang w:val="en-GB"/>
              </w:rPr>
            </w:pPr>
            <w:r w:rsidRPr="00263C6E">
              <w:rPr>
                <w:rFonts w:eastAsia="Times New Roman" w:cs="Calibri"/>
                <w:iCs/>
                <w:sz w:val="16"/>
                <w:szCs w:val="16"/>
                <w:vertAlign w:val="superscript"/>
                <w:lang w:val="en-GB"/>
              </w:rPr>
              <w:t>1</w:t>
            </w:r>
          </w:p>
        </w:tc>
        <w:tc>
          <w:tcPr>
            <w:tcW w:w="9464" w:type="dxa"/>
            <w:gridSpan w:val="5"/>
            <w:tcBorders>
              <w:top w:val="nil"/>
              <w:left w:val="nil"/>
              <w:bottom w:val="nil"/>
            </w:tcBorders>
            <w:shd w:val="clear" w:color="auto" w:fill="auto"/>
          </w:tcPr>
          <w:p w:rsidR="00961932" w:rsidRPr="00263C6E" w:rsidRDefault="009B16CA" w:rsidP="008D324D">
            <w:pPr>
              <w:spacing w:after="0" w:line="240" w:lineRule="auto"/>
              <w:jc w:val="both"/>
              <w:rPr>
                <w:rFonts w:eastAsia="Times New Roman" w:cs="Calibri"/>
                <w:sz w:val="16"/>
                <w:szCs w:val="16"/>
                <w:lang w:val="en-GB"/>
              </w:rPr>
            </w:pPr>
            <w:r w:rsidRPr="009B16CA">
              <w:rPr>
                <w:rFonts w:eastAsia="Times New Roman" w:cs="Calibri"/>
                <w:sz w:val="16"/>
                <w:szCs w:val="16"/>
                <w:lang w:val="en-GB"/>
              </w:rPr>
              <w:t xml:space="preserve">UTM </w:t>
            </w:r>
            <w:proofErr w:type="spellStart"/>
            <w:r w:rsidRPr="009B16CA">
              <w:rPr>
                <w:rFonts w:eastAsia="Times New Roman" w:cs="Calibri"/>
                <w:sz w:val="16"/>
                <w:szCs w:val="16"/>
                <w:lang w:val="en-GB"/>
              </w:rPr>
              <w:t>Razak</w:t>
            </w:r>
            <w:proofErr w:type="spellEnd"/>
            <w:r w:rsidRPr="009B16CA">
              <w:rPr>
                <w:rFonts w:eastAsia="Times New Roman" w:cs="Calibri"/>
                <w:sz w:val="16"/>
                <w:szCs w:val="16"/>
                <w:lang w:val="en-GB"/>
              </w:rPr>
              <w:t xml:space="preserve"> School of Engineering and Advanced Technology, </w:t>
            </w:r>
            <w:proofErr w:type="spellStart"/>
            <w:r w:rsidRPr="009B16CA">
              <w:rPr>
                <w:rFonts w:eastAsia="Times New Roman" w:cs="Calibri"/>
                <w:sz w:val="16"/>
                <w:szCs w:val="16"/>
                <w:lang w:val="en-GB"/>
              </w:rPr>
              <w:t>Universiti</w:t>
            </w:r>
            <w:proofErr w:type="spellEnd"/>
            <w:r w:rsidRPr="009B16CA">
              <w:rPr>
                <w:rFonts w:eastAsia="Times New Roman" w:cs="Calibri"/>
                <w:sz w:val="16"/>
                <w:szCs w:val="16"/>
                <w:lang w:val="en-GB"/>
              </w:rPr>
              <w:t xml:space="preserve"> </w:t>
            </w:r>
            <w:proofErr w:type="spellStart"/>
            <w:r w:rsidRPr="009B16CA">
              <w:rPr>
                <w:rFonts w:eastAsia="Times New Roman" w:cs="Calibri"/>
                <w:sz w:val="16"/>
                <w:szCs w:val="16"/>
                <w:lang w:val="en-GB"/>
              </w:rPr>
              <w:t>Teknologi</w:t>
            </w:r>
            <w:proofErr w:type="spellEnd"/>
            <w:r w:rsidRPr="009B16CA">
              <w:rPr>
                <w:rFonts w:eastAsia="Times New Roman" w:cs="Calibri"/>
                <w:sz w:val="16"/>
                <w:szCs w:val="16"/>
                <w:lang w:val="en-GB"/>
              </w:rPr>
              <w:t xml:space="preserve"> Malaysia, 54100 Kuala Lumpur, Malaysia</w:t>
            </w:r>
          </w:p>
        </w:tc>
      </w:tr>
      <w:tr w:rsidR="008D324D" w:rsidRPr="00263C6E" w:rsidTr="00263C6E">
        <w:trPr>
          <w:gridAfter w:val="1"/>
          <w:wAfter w:w="34" w:type="dxa"/>
          <w:trHeight w:val="20"/>
          <w:jc w:val="center"/>
        </w:trPr>
        <w:tc>
          <w:tcPr>
            <w:tcW w:w="236" w:type="dxa"/>
            <w:tcBorders>
              <w:top w:val="nil"/>
              <w:bottom w:val="nil"/>
              <w:right w:val="nil"/>
            </w:tcBorders>
            <w:shd w:val="clear" w:color="auto" w:fill="auto"/>
          </w:tcPr>
          <w:p w:rsidR="008D324D" w:rsidRPr="00263C6E" w:rsidRDefault="008D324D" w:rsidP="00263C6E">
            <w:pPr>
              <w:spacing w:after="0" w:line="240" w:lineRule="auto"/>
              <w:ind w:left="-86"/>
              <w:jc w:val="both"/>
              <w:rPr>
                <w:rFonts w:eastAsia="Times New Roman" w:cs="Calibri"/>
                <w:iCs/>
                <w:sz w:val="16"/>
                <w:szCs w:val="16"/>
                <w:vertAlign w:val="superscript"/>
                <w:lang w:val="en-GB"/>
              </w:rPr>
            </w:pPr>
            <w:r>
              <w:rPr>
                <w:rFonts w:eastAsia="Times New Roman" w:cs="Calibri"/>
                <w:iCs/>
                <w:sz w:val="16"/>
                <w:szCs w:val="16"/>
                <w:vertAlign w:val="superscript"/>
                <w:lang w:val="en-GB"/>
              </w:rPr>
              <w:t>2</w:t>
            </w:r>
          </w:p>
        </w:tc>
        <w:tc>
          <w:tcPr>
            <w:tcW w:w="9464" w:type="dxa"/>
            <w:gridSpan w:val="5"/>
            <w:tcBorders>
              <w:top w:val="nil"/>
              <w:left w:val="nil"/>
              <w:bottom w:val="nil"/>
            </w:tcBorders>
            <w:shd w:val="clear" w:color="auto" w:fill="auto"/>
          </w:tcPr>
          <w:p w:rsidR="008D324D" w:rsidRPr="009B16CA" w:rsidRDefault="008D324D" w:rsidP="008D324D">
            <w:pPr>
              <w:spacing w:after="0" w:line="240" w:lineRule="auto"/>
              <w:jc w:val="both"/>
              <w:rPr>
                <w:rFonts w:eastAsia="Times New Roman" w:cs="Calibri"/>
                <w:sz w:val="16"/>
                <w:szCs w:val="16"/>
                <w:lang w:val="en-GB"/>
              </w:rPr>
            </w:pPr>
            <w:proofErr w:type="spellStart"/>
            <w:r w:rsidRPr="009B16CA">
              <w:rPr>
                <w:rFonts w:eastAsia="Times New Roman" w:cs="Calibri"/>
                <w:sz w:val="16"/>
                <w:szCs w:val="16"/>
                <w:lang w:val="en-GB"/>
              </w:rPr>
              <w:t>Sekolah</w:t>
            </w:r>
            <w:proofErr w:type="spellEnd"/>
            <w:r w:rsidRPr="009B16CA">
              <w:rPr>
                <w:rFonts w:eastAsia="Times New Roman" w:cs="Calibri"/>
                <w:sz w:val="16"/>
                <w:szCs w:val="16"/>
                <w:lang w:val="en-GB"/>
              </w:rPr>
              <w:t xml:space="preserve"> Pendidikan </w:t>
            </w:r>
            <w:proofErr w:type="spellStart"/>
            <w:r w:rsidRPr="009B16CA">
              <w:rPr>
                <w:rFonts w:eastAsia="Times New Roman" w:cs="Calibri"/>
                <w:sz w:val="16"/>
                <w:szCs w:val="16"/>
                <w:lang w:val="en-GB"/>
              </w:rPr>
              <w:t>Profesional</w:t>
            </w:r>
            <w:proofErr w:type="spellEnd"/>
            <w:r w:rsidRPr="009B16CA">
              <w:rPr>
                <w:rFonts w:eastAsia="Times New Roman" w:cs="Calibri"/>
                <w:sz w:val="16"/>
                <w:szCs w:val="16"/>
                <w:lang w:val="en-GB"/>
              </w:rPr>
              <w:t xml:space="preserve"> &amp; Pendidikan </w:t>
            </w:r>
            <w:proofErr w:type="spellStart"/>
            <w:r w:rsidRPr="009B16CA">
              <w:rPr>
                <w:rFonts w:eastAsia="Times New Roman" w:cs="Calibri"/>
                <w:sz w:val="16"/>
                <w:szCs w:val="16"/>
                <w:lang w:val="en-GB"/>
              </w:rPr>
              <w:t>Berterusan</w:t>
            </w:r>
            <w:proofErr w:type="spellEnd"/>
            <w:r w:rsidRPr="009B16CA">
              <w:rPr>
                <w:rFonts w:eastAsia="Times New Roman" w:cs="Calibri"/>
                <w:sz w:val="16"/>
                <w:szCs w:val="16"/>
                <w:lang w:val="en-GB"/>
              </w:rPr>
              <w:t xml:space="preserve">, </w:t>
            </w:r>
            <w:proofErr w:type="spellStart"/>
            <w:r w:rsidRPr="009B16CA">
              <w:rPr>
                <w:rFonts w:eastAsia="Times New Roman" w:cs="Calibri"/>
                <w:sz w:val="16"/>
                <w:szCs w:val="16"/>
                <w:lang w:val="en-GB"/>
              </w:rPr>
              <w:t>Universiti</w:t>
            </w:r>
            <w:proofErr w:type="spellEnd"/>
            <w:r w:rsidRPr="009B16CA">
              <w:rPr>
                <w:rFonts w:eastAsia="Times New Roman" w:cs="Calibri"/>
                <w:sz w:val="16"/>
                <w:szCs w:val="16"/>
                <w:lang w:val="en-GB"/>
              </w:rPr>
              <w:t xml:space="preserve"> </w:t>
            </w:r>
            <w:proofErr w:type="spellStart"/>
            <w:r w:rsidRPr="009B16CA">
              <w:rPr>
                <w:rFonts w:eastAsia="Times New Roman" w:cs="Calibri"/>
                <w:sz w:val="16"/>
                <w:szCs w:val="16"/>
                <w:lang w:val="en-GB"/>
              </w:rPr>
              <w:t>Teknologi</w:t>
            </w:r>
            <w:proofErr w:type="spellEnd"/>
            <w:r w:rsidRPr="009B16CA">
              <w:rPr>
                <w:rFonts w:eastAsia="Times New Roman" w:cs="Calibri"/>
                <w:sz w:val="16"/>
                <w:szCs w:val="16"/>
                <w:lang w:val="en-GB"/>
              </w:rPr>
              <w:t xml:space="preserve"> Malaysia, 54100 Kuala Lumpur, Malaysia </w:t>
            </w:r>
          </w:p>
        </w:tc>
      </w:tr>
      <w:tr w:rsidR="00B84E28" w:rsidRPr="00263C6E" w:rsidTr="00263C6E">
        <w:trPr>
          <w:gridAfter w:val="1"/>
          <w:wAfter w:w="34" w:type="dxa"/>
          <w:trHeight w:val="20"/>
          <w:jc w:val="center"/>
        </w:trPr>
        <w:tc>
          <w:tcPr>
            <w:tcW w:w="236" w:type="dxa"/>
            <w:tcBorders>
              <w:top w:val="nil"/>
              <w:bottom w:val="nil"/>
              <w:right w:val="nil"/>
            </w:tcBorders>
            <w:shd w:val="clear" w:color="auto" w:fill="auto"/>
          </w:tcPr>
          <w:p w:rsidR="00B84E28" w:rsidRPr="00B84E28" w:rsidRDefault="00B84E28" w:rsidP="00263C6E">
            <w:pPr>
              <w:spacing w:after="0" w:line="240" w:lineRule="auto"/>
              <w:ind w:left="-86"/>
              <w:jc w:val="both"/>
              <w:rPr>
                <w:rFonts w:eastAsia="Times New Roman" w:cs="Calibri"/>
                <w:iCs/>
                <w:color w:val="000000" w:themeColor="text1"/>
                <w:sz w:val="16"/>
                <w:szCs w:val="16"/>
                <w:vertAlign w:val="superscript"/>
                <w:lang w:val="en-GB"/>
              </w:rPr>
            </w:pPr>
          </w:p>
        </w:tc>
        <w:tc>
          <w:tcPr>
            <w:tcW w:w="9464" w:type="dxa"/>
            <w:gridSpan w:val="5"/>
            <w:tcBorders>
              <w:top w:val="nil"/>
              <w:left w:val="nil"/>
              <w:bottom w:val="nil"/>
            </w:tcBorders>
            <w:shd w:val="clear" w:color="auto" w:fill="auto"/>
          </w:tcPr>
          <w:p w:rsidR="00C55009" w:rsidRPr="009C2B7E" w:rsidRDefault="00C55009" w:rsidP="0063326D">
            <w:pPr>
              <w:spacing w:after="0" w:line="240" w:lineRule="auto"/>
              <w:jc w:val="both"/>
              <w:rPr>
                <w:rFonts w:eastAsia="Times New Roman" w:cs="Calibri"/>
                <w:sz w:val="16"/>
                <w:szCs w:val="16"/>
                <w:lang w:val="en-GB"/>
              </w:rPr>
            </w:pPr>
          </w:p>
        </w:tc>
      </w:tr>
      <w:tr w:rsidR="00263C6E" w:rsidRPr="00263C6E" w:rsidTr="00263C6E">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shd w:val="clear" w:color="auto" w:fill="auto"/>
            <w:vAlign w:val="center"/>
          </w:tcPr>
          <w:p w:rsidR="00B62E7D" w:rsidRPr="00263C6E" w:rsidRDefault="00B62E7D" w:rsidP="00263C6E">
            <w:pPr>
              <w:spacing w:before="240" w:after="120" w:line="240" w:lineRule="auto"/>
              <w:jc w:val="both"/>
              <w:rPr>
                <w:rFonts w:cs="Calibri"/>
                <w:b/>
                <w:bCs/>
                <w:sz w:val="18"/>
                <w:szCs w:val="18"/>
                <w:lang w:val="en-GB"/>
              </w:rPr>
            </w:pPr>
            <w:r w:rsidRPr="00263C6E">
              <w:rPr>
                <w:rFonts w:cs="Calibri"/>
                <w:b/>
                <w:bCs/>
                <w:sz w:val="18"/>
                <w:szCs w:val="18"/>
                <w:lang w:val="en-GB"/>
              </w:rPr>
              <w:t>ARTICLE INFO</w:t>
            </w:r>
          </w:p>
        </w:tc>
        <w:tc>
          <w:tcPr>
            <w:tcW w:w="6494" w:type="dxa"/>
            <w:gridSpan w:val="4"/>
            <w:tcBorders>
              <w:top w:val="single" w:sz="12" w:space="0" w:color="auto"/>
              <w:bottom w:val="single" w:sz="12" w:space="0" w:color="auto"/>
            </w:tcBorders>
            <w:shd w:val="clear" w:color="auto" w:fill="auto"/>
            <w:vAlign w:val="center"/>
          </w:tcPr>
          <w:p w:rsidR="00B62E7D" w:rsidRPr="00263C6E" w:rsidRDefault="00B62E7D" w:rsidP="00263C6E">
            <w:pPr>
              <w:spacing w:before="240" w:after="120" w:line="240" w:lineRule="auto"/>
              <w:jc w:val="both"/>
              <w:rPr>
                <w:rFonts w:cs="Calibri"/>
                <w:b/>
                <w:bCs/>
                <w:sz w:val="18"/>
                <w:szCs w:val="18"/>
                <w:lang w:val="en-GB"/>
              </w:rPr>
            </w:pPr>
            <w:r w:rsidRPr="00263C6E">
              <w:rPr>
                <w:rFonts w:cs="Calibri"/>
                <w:b/>
                <w:bCs/>
                <w:sz w:val="18"/>
                <w:szCs w:val="18"/>
                <w:lang w:val="en-GB"/>
              </w:rPr>
              <w:t>ABSTRACT</w:t>
            </w:r>
          </w:p>
        </w:tc>
      </w:tr>
      <w:tr w:rsidR="00263C6E" w:rsidRPr="00263C6E" w:rsidTr="0015479D">
        <w:tblPrEx>
          <w:tblBorders>
            <w:bottom w:val="single" w:sz="4" w:space="0" w:color="auto"/>
            <w:insideV w:val="none" w:sz="0" w:space="0" w:color="auto"/>
          </w:tblBorders>
        </w:tblPrEx>
        <w:trPr>
          <w:trHeight w:val="2553"/>
          <w:jc w:val="center"/>
        </w:trPr>
        <w:tc>
          <w:tcPr>
            <w:tcW w:w="3240" w:type="dxa"/>
            <w:gridSpan w:val="3"/>
            <w:tcBorders>
              <w:top w:val="single" w:sz="12" w:space="0" w:color="auto"/>
              <w:bottom w:val="nil"/>
            </w:tcBorders>
            <w:shd w:val="clear" w:color="auto" w:fill="auto"/>
          </w:tcPr>
          <w:p w:rsidR="00B62E7D" w:rsidRPr="00263C6E" w:rsidRDefault="00B62E7D" w:rsidP="00263C6E">
            <w:pPr>
              <w:spacing w:before="120" w:after="0" w:line="240" w:lineRule="auto"/>
              <w:jc w:val="both"/>
              <w:rPr>
                <w:rFonts w:cs="Calibri"/>
                <w:b/>
                <w:bCs/>
                <w:i/>
                <w:iCs/>
                <w:sz w:val="18"/>
                <w:szCs w:val="18"/>
                <w:lang w:val="en-GB"/>
              </w:rPr>
            </w:pPr>
            <w:r w:rsidRPr="00263C6E">
              <w:rPr>
                <w:rFonts w:cs="Calibri"/>
                <w:b/>
                <w:bCs/>
                <w:i/>
                <w:iCs/>
                <w:sz w:val="18"/>
                <w:szCs w:val="18"/>
                <w:lang w:val="en-GB"/>
              </w:rPr>
              <w:t>Article history:</w:t>
            </w:r>
          </w:p>
          <w:p w:rsidR="00F35003" w:rsidRDefault="00F35003" w:rsidP="00F35003">
            <w:pPr>
              <w:spacing w:after="0" w:line="240" w:lineRule="auto"/>
              <w:jc w:val="both"/>
              <w:rPr>
                <w:rFonts w:cs="Calibri"/>
                <w:sz w:val="16"/>
                <w:szCs w:val="16"/>
                <w:lang w:val="en-GB"/>
              </w:rPr>
            </w:pPr>
            <w:r>
              <w:rPr>
                <w:rFonts w:cs="Calibri"/>
                <w:sz w:val="16"/>
                <w:szCs w:val="16"/>
                <w:lang w:val="en-GB"/>
              </w:rPr>
              <w:t>Received 5 February 2018</w:t>
            </w:r>
          </w:p>
          <w:p w:rsidR="00F35003" w:rsidRDefault="00F35003" w:rsidP="00F35003">
            <w:pPr>
              <w:spacing w:after="0" w:line="240" w:lineRule="auto"/>
              <w:jc w:val="both"/>
              <w:rPr>
                <w:rFonts w:cs="Calibri"/>
                <w:sz w:val="16"/>
                <w:szCs w:val="16"/>
                <w:lang w:val="en-GB"/>
              </w:rPr>
            </w:pPr>
            <w:r>
              <w:rPr>
                <w:rFonts w:cs="Calibri"/>
                <w:sz w:val="16"/>
                <w:szCs w:val="16"/>
                <w:lang w:val="en-GB"/>
              </w:rPr>
              <w:t>Received in revised form 4 April 2018</w:t>
            </w:r>
          </w:p>
          <w:p w:rsidR="00F35003" w:rsidRDefault="00F35003" w:rsidP="00F35003">
            <w:pPr>
              <w:spacing w:after="0" w:line="240" w:lineRule="auto"/>
              <w:jc w:val="both"/>
              <w:rPr>
                <w:rFonts w:cs="Calibri"/>
                <w:sz w:val="16"/>
                <w:szCs w:val="16"/>
                <w:lang w:val="en-GB"/>
              </w:rPr>
            </w:pPr>
            <w:r>
              <w:rPr>
                <w:rFonts w:cs="Calibri"/>
                <w:sz w:val="16"/>
                <w:szCs w:val="16"/>
                <w:lang w:val="en-GB"/>
              </w:rPr>
              <w:t>Accepted 2 May 2018</w:t>
            </w:r>
          </w:p>
          <w:p w:rsidR="00B62E7D" w:rsidRPr="00263C6E" w:rsidRDefault="00F35003" w:rsidP="00F35003">
            <w:pPr>
              <w:spacing w:after="120" w:line="240" w:lineRule="auto"/>
              <w:jc w:val="both"/>
              <w:rPr>
                <w:rFonts w:cs="Calibri"/>
                <w:sz w:val="18"/>
                <w:szCs w:val="18"/>
                <w:lang w:val="en-GB"/>
              </w:rPr>
            </w:pPr>
            <w:r>
              <w:rPr>
                <w:rFonts w:cs="Calibri"/>
                <w:sz w:val="16"/>
                <w:szCs w:val="16"/>
                <w:lang w:val="en-GB"/>
              </w:rPr>
              <w:t>Available online 1 July 2018</w:t>
            </w:r>
          </w:p>
        </w:tc>
        <w:tc>
          <w:tcPr>
            <w:tcW w:w="6494" w:type="dxa"/>
            <w:gridSpan w:val="4"/>
            <w:tcBorders>
              <w:top w:val="single" w:sz="12" w:space="0" w:color="auto"/>
              <w:bottom w:val="nil"/>
            </w:tcBorders>
            <w:shd w:val="clear" w:color="auto" w:fill="auto"/>
            <w:vAlign w:val="center"/>
          </w:tcPr>
          <w:p w:rsidR="00B62E7D" w:rsidRPr="00263C6E" w:rsidRDefault="00F6691A" w:rsidP="0063326D">
            <w:pPr>
              <w:spacing w:before="120" w:after="0" w:line="240" w:lineRule="auto"/>
              <w:jc w:val="both"/>
              <w:rPr>
                <w:rFonts w:cs="Calibri"/>
                <w:sz w:val="18"/>
                <w:szCs w:val="18"/>
                <w:lang w:val="en-GB"/>
              </w:rPr>
            </w:pPr>
            <w:r>
              <w:rPr>
                <w:rFonts w:cs="Calibri"/>
                <w:sz w:val="18"/>
                <w:szCs w:val="18"/>
                <w:lang w:val="en-GB"/>
              </w:rPr>
              <w:t xml:space="preserve">Add abstract here. </w:t>
            </w:r>
            <w:proofErr w:type="spellStart"/>
            <w:r>
              <w:rPr>
                <w:rFonts w:cs="Calibri"/>
                <w:sz w:val="18"/>
                <w:szCs w:val="18"/>
                <w:lang w:val="en-GB"/>
              </w:rPr>
              <w:t>Maxmimum</w:t>
            </w:r>
            <w:proofErr w:type="spellEnd"/>
            <w:r>
              <w:rPr>
                <w:rFonts w:cs="Calibri"/>
                <w:sz w:val="18"/>
                <w:szCs w:val="18"/>
                <w:lang w:val="en-GB"/>
              </w:rPr>
              <w:t xml:space="preserve"> 300 words. Abstract should not </w:t>
            </w:r>
            <w:proofErr w:type="spellStart"/>
            <w:r>
              <w:rPr>
                <w:rFonts w:cs="Calibri"/>
                <w:sz w:val="18"/>
                <w:szCs w:val="18"/>
                <w:lang w:val="en-GB"/>
              </w:rPr>
              <w:t>incluce</w:t>
            </w:r>
            <w:proofErr w:type="spellEnd"/>
            <w:r>
              <w:rPr>
                <w:rFonts w:cs="Calibri"/>
                <w:sz w:val="18"/>
                <w:szCs w:val="18"/>
                <w:lang w:val="en-GB"/>
              </w:rPr>
              <w:t xml:space="preserve"> any citation.</w:t>
            </w:r>
          </w:p>
        </w:tc>
      </w:tr>
      <w:tr w:rsidR="00263C6E" w:rsidRPr="00263C6E" w:rsidTr="0015479D">
        <w:tblPrEx>
          <w:tblBorders>
            <w:bottom w:val="single" w:sz="4" w:space="0" w:color="auto"/>
            <w:insideV w:val="none" w:sz="0" w:space="0" w:color="auto"/>
          </w:tblBorders>
        </w:tblPrEx>
        <w:trPr>
          <w:trHeight w:val="50"/>
          <w:jc w:val="center"/>
        </w:trPr>
        <w:tc>
          <w:tcPr>
            <w:tcW w:w="3240" w:type="dxa"/>
            <w:gridSpan w:val="3"/>
            <w:tcBorders>
              <w:top w:val="nil"/>
              <w:bottom w:val="nil"/>
            </w:tcBorders>
            <w:shd w:val="clear" w:color="auto" w:fill="auto"/>
            <w:vAlign w:val="center"/>
          </w:tcPr>
          <w:p w:rsidR="00B62E7D" w:rsidRPr="00263C6E" w:rsidRDefault="00B62E7D" w:rsidP="00263C6E">
            <w:pPr>
              <w:spacing w:after="0" w:line="240" w:lineRule="auto"/>
              <w:jc w:val="both"/>
              <w:rPr>
                <w:rFonts w:cs="Calibri"/>
                <w:b/>
                <w:bCs/>
                <w:i/>
                <w:iCs/>
                <w:sz w:val="18"/>
                <w:szCs w:val="18"/>
                <w:lang w:val="en-GB"/>
              </w:rPr>
            </w:pPr>
            <w:r w:rsidRPr="00263C6E">
              <w:rPr>
                <w:rFonts w:cs="Calibri"/>
                <w:b/>
                <w:bCs/>
                <w:i/>
                <w:iCs/>
                <w:sz w:val="18"/>
                <w:szCs w:val="18"/>
                <w:lang w:val="en-GB"/>
              </w:rPr>
              <w:t>Keywords:</w:t>
            </w:r>
          </w:p>
        </w:tc>
        <w:tc>
          <w:tcPr>
            <w:tcW w:w="6494" w:type="dxa"/>
            <w:gridSpan w:val="4"/>
            <w:tcBorders>
              <w:top w:val="nil"/>
              <w:bottom w:val="nil"/>
            </w:tcBorders>
            <w:shd w:val="clear" w:color="auto" w:fill="auto"/>
            <w:vAlign w:val="center"/>
          </w:tcPr>
          <w:p w:rsidR="00B62E7D" w:rsidRPr="00263C6E" w:rsidRDefault="00B62E7D" w:rsidP="00263C6E">
            <w:pPr>
              <w:spacing w:after="0" w:line="240" w:lineRule="auto"/>
              <w:jc w:val="both"/>
              <w:rPr>
                <w:rFonts w:cs="Calibri"/>
                <w:b/>
                <w:bCs/>
                <w:sz w:val="18"/>
                <w:szCs w:val="18"/>
                <w:lang w:val="en-GB"/>
              </w:rPr>
            </w:pPr>
          </w:p>
        </w:tc>
      </w:tr>
      <w:tr w:rsidR="00263C6E" w:rsidRPr="00263C6E" w:rsidTr="00263C6E">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shd w:val="clear" w:color="auto" w:fill="auto"/>
            <w:vAlign w:val="center"/>
          </w:tcPr>
          <w:p w:rsidR="00B62E7D" w:rsidRPr="00263C6E" w:rsidRDefault="00062D56" w:rsidP="0063326D">
            <w:pPr>
              <w:spacing w:after="120" w:line="240" w:lineRule="auto"/>
              <w:rPr>
                <w:rFonts w:cs="Calibri"/>
                <w:sz w:val="18"/>
                <w:szCs w:val="18"/>
                <w:lang w:val="en-GB"/>
              </w:rPr>
            </w:pPr>
            <w:r>
              <w:rPr>
                <w:rFonts w:cs="Calibri"/>
                <w:sz w:val="18"/>
                <w:szCs w:val="18"/>
                <w:lang w:val="en-GB"/>
              </w:rPr>
              <w:t>Safety, health, risk assessment, Bow-tie, risk matrix, t</w:t>
            </w:r>
            <w:r w:rsidR="009B16CA" w:rsidRPr="009B16CA">
              <w:rPr>
                <w:rFonts w:cs="Calibri"/>
                <w:sz w:val="18"/>
                <w:szCs w:val="18"/>
                <w:lang w:val="en-GB"/>
              </w:rPr>
              <w:t>unnel</w:t>
            </w:r>
          </w:p>
        </w:tc>
        <w:tc>
          <w:tcPr>
            <w:tcW w:w="6494" w:type="dxa"/>
            <w:gridSpan w:val="4"/>
            <w:tcBorders>
              <w:top w:val="nil"/>
              <w:bottom w:val="single" w:sz="12" w:space="0" w:color="auto"/>
            </w:tcBorders>
            <w:shd w:val="clear" w:color="auto" w:fill="auto"/>
            <w:vAlign w:val="bottom"/>
          </w:tcPr>
          <w:p w:rsidR="00B62E7D" w:rsidRPr="00263C6E" w:rsidRDefault="00B62E7D" w:rsidP="00263C6E">
            <w:pPr>
              <w:spacing w:after="120" w:line="240" w:lineRule="auto"/>
              <w:jc w:val="right"/>
              <w:rPr>
                <w:rFonts w:cs="Calibri"/>
                <w:b/>
                <w:bCs/>
                <w:sz w:val="18"/>
                <w:szCs w:val="18"/>
                <w:lang w:val="en-GB"/>
              </w:rPr>
            </w:pPr>
            <w:r w:rsidRPr="00263C6E">
              <w:rPr>
                <w:rFonts w:cs="Calibri"/>
                <w:b/>
                <w:bCs/>
                <w:sz w:val="18"/>
                <w:szCs w:val="18"/>
                <w:lang w:val="en-GB"/>
              </w:rPr>
              <w:t>Copyright © 201</w:t>
            </w:r>
            <w:r w:rsidR="008D324D">
              <w:rPr>
                <w:rFonts w:cs="Calibri"/>
                <w:b/>
                <w:bCs/>
                <w:sz w:val="18"/>
                <w:szCs w:val="18"/>
                <w:lang w:val="en-GB"/>
              </w:rPr>
              <w:t>8</w:t>
            </w:r>
            <w:r w:rsidRPr="00263C6E">
              <w:rPr>
                <w:rFonts w:cs="Calibri"/>
                <w:b/>
                <w:bCs/>
                <w:sz w:val="18"/>
                <w:szCs w:val="18"/>
                <w:lang w:val="en-GB"/>
              </w:rPr>
              <w:t xml:space="preserve"> PENERBIT AKADEMIA BARU - All rights reserved</w:t>
            </w:r>
          </w:p>
        </w:tc>
      </w:tr>
    </w:tbl>
    <w:p w:rsidR="00A86C4C" w:rsidRPr="00263C6E" w:rsidRDefault="00A86C4C" w:rsidP="00B02428">
      <w:pPr>
        <w:spacing w:after="0" w:line="240" w:lineRule="auto"/>
        <w:jc w:val="both"/>
        <w:rPr>
          <w:rFonts w:cs="Times New Roman"/>
          <w:bCs/>
          <w:sz w:val="24"/>
          <w:szCs w:val="24"/>
          <w:lang w:val="en-MY"/>
        </w:rPr>
      </w:pPr>
    </w:p>
    <w:p w:rsidR="00961932" w:rsidRPr="00961932" w:rsidRDefault="00961932" w:rsidP="00961932">
      <w:pPr>
        <w:pStyle w:val="Heading4"/>
        <w:numPr>
          <w:ilvl w:val="0"/>
          <w:numId w:val="4"/>
        </w:numPr>
        <w:ind w:left="270" w:hanging="270"/>
        <w:rPr>
          <w:rFonts w:asciiTheme="minorHAnsi" w:hAnsiTheme="minorHAnsi"/>
          <w:b/>
          <w:bCs/>
          <w:i w:val="0"/>
          <w:iCs w:val="0"/>
          <w:color w:val="auto"/>
          <w:sz w:val="24"/>
          <w:szCs w:val="24"/>
        </w:rPr>
      </w:pPr>
      <w:r w:rsidRPr="00961932">
        <w:rPr>
          <w:rFonts w:asciiTheme="minorHAnsi" w:hAnsiTheme="minorHAnsi"/>
          <w:b/>
          <w:bCs/>
          <w:i w:val="0"/>
          <w:iCs w:val="0"/>
          <w:color w:val="auto"/>
          <w:sz w:val="24"/>
          <w:szCs w:val="24"/>
        </w:rPr>
        <w:t xml:space="preserve">Introduction </w:t>
      </w:r>
    </w:p>
    <w:p w:rsidR="00961932" w:rsidRPr="00062D56" w:rsidRDefault="00961932" w:rsidP="00062D56">
      <w:pPr>
        <w:spacing w:after="0" w:line="240" w:lineRule="auto"/>
        <w:rPr>
          <w:rFonts w:asciiTheme="minorHAnsi" w:hAnsiTheme="minorHAnsi"/>
          <w:sz w:val="24"/>
          <w:szCs w:val="24"/>
        </w:rPr>
      </w:pPr>
    </w:p>
    <w:p w:rsidR="009B16CA" w:rsidRPr="00062D56" w:rsidRDefault="00F6691A" w:rsidP="00062D56">
      <w:pPr>
        <w:spacing w:after="0" w:line="240" w:lineRule="auto"/>
        <w:ind w:firstLine="369"/>
        <w:jc w:val="both"/>
        <w:rPr>
          <w:rFonts w:asciiTheme="minorHAnsi" w:hAnsiTheme="minorHAnsi" w:cs="Times New Roman"/>
          <w:sz w:val="24"/>
          <w:szCs w:val="24"/>
          <w:lang w:val="en-GB"/>
        </w:rPr>
      </w:pPr>
      <w:r>
        <w:rPr>
          <w:rFonts w:asciiTheme="minorHAnsi" w:hAnsiTheme="minorHAnsi" w:cs="Times New Roman"/>
          <w:sz w:val="24"/>
          <w:szCs w:val="24"/>
          <w:lang w:val="en-GB"/>
        </w:rPr>
        <w:t xml:space="preserve">Indent is 0.65cm [1]. </w:t>
      </w:r>
      <w:r w:rsidR="009B16CA" w:rsidRPr="00062D56">
        <w:rPr>
          <w:rFonts w:asciiTheme="minorHAnsi" w:hAnsiTheme="minorHAnsi" w:cs="Times New Roman"/>
          <w:sz w:val="24"/>
          <w:szCs w:val="24"/>
          <w:lang w:val="en-GB"/>
        </w:rPr>
        <w:t>Tunnels are used when highways are built across hilly or mountainous areas.</w:t>
      </w:r>
      <w:r w:rsidR="009B16CA" w:rsidRPr="00062D56">
        <w:rPr>
          <w:rFonts w:asciiTheme="minorHAnsi" w:hAnsiTheme="minorHAnsi" w:cs="Times New Roman"/>
          <w:b/>
          <w:sz w:val="24"/>
          <w:szCs w:val="24"/>
          <w:lang w:val="en-GB"/>
        </w:rPr>
        <w:t xml:space="preserve"> </w:t>
      </w:r>
      <w:r w:rsidR="009B16CA" w:rsidRPr="00062D56">
        <w:rPr>
          <w:rFonts w:asciiTheme="minorHAnsi" w:hAnsiTheme="minorHAnsi" w:cs="Times New Roman"/>
          <w:sz w:val="24"/>
          <w:szCs w:val="24"/>
          <w:lang w:val="en-GB"/>
        </w:rPr>
        <w:t xml:space="preserve">In Malaysia, the longest highway maintenance concession with an overall length of 772 </w:t>
      </w:r>
      <w:proofErr w:type="spellStart"/>
      <w:r w:rsidR="009B16CA" w:rsidRPr="00062D56">
        <w:rPr>
          <w:rFonts w:asciiTheme="minorHAnsi" w:hAnsiTheme="minorHAnsi" w:cs="Times New Roman"/>
          <w:sz w:val="24"/>
          <w:szCs w:val="24"/>
          <w:lang w:val="en-GB"/>
        </w:rPr>
        <w:t>kilometers</w:t>
      </w:r>
      <w:proofErr w:type="spellEnd"/>
      <w:r w:rsidR="009B16CA" w:rsidRPr="00062D56">
        <w:rPr>
          <w:rFonts w:asciiTheme="minorHAnsi" w:hAnsiTheme="minorHAnsi" w:cs="Times New Roman"/>
          <w:sz w:val="24"/>
          <w:szCs w:val="24"/>
          <w:lang w:val="en-GB"/>
        </w:rPr>
        <w:t xml:space="preserve"> starts from Bukit </w:t>
      </w:r>
      <w:proofErr w:type="spellStart"/>
      <w:r w:rsidR="009B16CA" w:rsidRPr="00062D56">
        <w:rPr>
          <w:rFonts w:asciiTheme="minorHAnsi" w:hAnsiTheme="minorHAnsi" w:cs="Times New Roman"/>
          <w:sz w:val="24"/>
          <w:szCs w:val="24"/>
          <w:lang w:val="en-GB"/>
        </w:rPr>
        <w:t>Kayu</w:t>
      </w:r>
      <w:proofErr w:type="spellEnd"/>
      <w:r w:rsidR="009B16CA" w:rsidRPr="00062D56">
        <w:rPr>
          <w:rFonts w:asciiTheme="minorHAnsi" w:hAnsiTheme="minorHAnsi" w:cs="Times New Roman"/>
          <w:sz w:val="24"/>
          <w:szCs w:val="24"/>
          <w:lang w:val="en-GB"/>
        </w:rPr>
        <w:t xml:space="preserve"> </w:t>
      </w:r>
      <w:proofErr w:type="spellStart"/>
      <w:r w:rsidR="009B16CA" w:rsidRPr="00062D56">
        <w:rPr>
          <w:rFonts w:asciiTheme="minorHAnsi" w:hAnsiTheme="minorHAnsi" w:cs="Times New Roman"/>
          <w:sz w:val="24"/>
          <w:szCs w:val="24"/>
          <w:lang w:val="en-GB"/>
        </w:rPr>
        <w:t>Hitam</w:t>
      </w:r>
      <w:proofErr w:type="spellEnd"/>
      <w:r w:rsidR="009B16CA" w:rsidRPr="00062D56">
        <w:rPr>
          <w:rFonts w:asciiTheme="minorHAnsi" w:hAnsiTheme="minorHAnsi" w:cs="Times New Roman"/>
          <w:sz w:val="24"/>
          <w:szCs w:val="24"/>
          <w:lang w:val="en-GB"/>
        </w:rPr>
        <w:t xml:space="preserve"> in Kedah, Malaysia-Thai borders until Johor Bahru in the south</w:t>
      </w:r>
      <w:r>
        <w:rPr>
          <w:rFonts w:asciiTheme="minorHAnsi" w:hAnsiTheme="minorHAnsi" w:cs="Times New Roman"/>
          <w:sz w:val="24"/>
          <w:szCs w:val="24"/>
          <w:lang w:val="en-GB"/>
        </w:rPr>
        <w:t>ern part of Peninsular Malaysia</w:t>
      </w:r>
      <w:r w:rsidR="009B16CA" w:rsidRPr="00062D56">
        <w:rPr>
          <w:rFonts w:asciiTheme="minorHAnsi" w:hAnsiTheme="minorHAnsi" w:cs="Times New Roman"/>
          <w:sz w:val="24"/>
          <w:szCs w:val="24"/>
          <w:lang w:val="en-GB"/>
        </w:rPr>
        <w:t>.</w:t>
      </w:r>
    </w:p>
    <w:p w:rsidR="00F6691A" w:rsidRPr="00062D56" w:rsidRDefault="00F6691A" w:rsidP="00F6691A">
      <w:pPr>
        <w:spacing w:after="0" w:line="240" w:lineRule="auto"/>
        <w:ind w:firstLine="369"/>
        <w:jc w:val="both"/>
        <w:rPr>
          <w:rFonts w:asciiTheme="minorHAnsi" w:hAnsiTheme="minorHAnsi" w:cs="Times New Roman"/>
          <w:sz w:val="24"/>
          <w:szCs w:val="24"/>
          <w:lang w:val="en-GB"/>
        </w:rPr>
      </w:pPr>
      <w:r>
        <w:rPr>
          <w:rFonts w:asciiTheme="minorHAnsi" w:hAnsiTheme="minorHAnsi" w:cs="Times New Roman"/>
          <w:sz w:val="24"/>
          <w:szCs w:val="24"/>
          <w:lang w:val="en-GB"/>
        </w:rPr>
        <w:t xml:space="preserve">Here is the second paragraph [2]. </w:t>
      </w:r>
      <w:r w:rsidR="009B16CA" w:rsidRPr="00062D56">
        <w:rPr>
          <w:rFonts w:asciiTheme="minorHAnsi" w:hAnsiTheme="minorHAnsi" w:cs="Times New Roman"/>
          <w:sz w:val="24"/>
          <w:szCs w:val="24"/>
          <w:lang w:val="en-GB"/>
        </w:rPr>
        <w:t xml:space="preserve">Maintenance team is hired to maintain all these tunnel operations, especially in electrical maintenance. Highway that has been in operation also requires a risk assessment for all maintenance work so that it can be carried out safely by the maintenance team and safe for road users as well. Most fatalities in road tunnels appear to arise from ordinary traffic accidents. Norwegian data indicate that two-thirds of deaths in road tunnels are resulted from common traffic accidents and about one-third is from fire-related incidents and ‘dangerous goods’ incidents </w:t>
      </w:r>
      <w:r w:rsidR="009B16CA" w:rsidRPr="00062D56">
        <w:rPr>
          <w:rFonts w:asciiTheme="minorHAnsi" w:hAnsiTheme="minorHAnsi" w:cs="Times New Roman"/>
          <w:sz w:val="24"/>
          <w:szCs w:val="24"/>
          <w:lang w:val="en-GB"/>
        </w:rPr>
        <w:fldChar w:fldCharType="begin"/>
      </w:r>
      <w:r w:rsidR="009B16CA" w:rsidRPr="00062D56">
        <w:rPr>
          <w:rFonts w:asciiTheme="minorHAnsi" w:hAnsiTheme="minorHAnsi" w:cs="Times New Roman"/>
          <w:sz w:val="24"/>
          <w:szCs w:val="24"/>
          <w:lang w:val="en-GB"/>
        </w:rPr>
        <w:instrText xml:space="preserve"> ADDIN EN.CITE &lt;EndNote&gt;&lt;Cite&gt;&lt;Author&gt;Ingason&lt;/Author&gt;&lt;Year&gt;2013&lt;/Year&gt;&lt;RecNum&gt;17&lt;/RecNum&gt;&lt;DisplayText&gt;[2]&lt;/DisplayText&gt;&lt;record&gt;&lt;rec-number&gt;17&lt;/rec-number&gt;&lt;foreign-keys&gt;&lt;key app="EN" db-id="9wsdwwa0gt0evie5f2axzp97wrrz9w9arxt2" timestamp="1512475471"&gt;17&lt;/key&gt;&lt;/foreign-keys&gt;&lt;ref-type name="Journal Article"&gt;17&lt;/ref-type&gt;&lt;contributors&gt;&lt;authors&gt;&lt;author&gt;Ingason, H.&lt;/author&gt;&lt;/authors&gt;&lt;/contributors&gt;&lt;auth-address&gt;SP Tech Res Inst Sweden, Boras, Sweden.&amp;#xD;Ingason, H (reprint author), SP Tech Res Inst Sweden, Boras, Sweden.&amp;#xD;haukur.ingason@sp.se&lt;/auth-address&gt;&lt;titles&gt;&lt;title&gt;Fire Safety in Tunnels&lt;/title&gt;&lt;secondary-title&gt;Fire Technology&lt;/secondary-title&gt;&lt;alt-title&gt;Fire Technol.&lt;/alt-title&gt;&lt;/titles&gt;&lt;periodical&gt;&lt;full-title&gt;Fire Technology&lt;/full-title&gt;&lt;abbr-1&gt;Fire Technol.&lt;/abbr-1&gt;&lt;/periodical&gt;&lt;alt-periodical&gt;&lt;full-title&gt;Fire Technology&lt;/full-title&gt;&lt;abbr-1&gt;Fire Technol.&lt;/abbr-1&gt;&lt;/alt-periodical&gt;&lt;pages&gt;433-434&lt;/pages&gt;&lt;volume&gt;49&lt;/volume&gt;&lt;number&gt;2&lt;/number&gt;&lt;dates&gt;&lt;year&gt;2013&lt;/year&gt;&lt;pub-dates&gt;&lt;date&gt;Apr&lt;/date&gt;&lt;/pub-dates&gt;&lt;/dates&gt;&lt;isbn&gt;0015-2684&lt;/isbn&gt;&lt;accession-num&gt;WOS:000313645600011&lt;/accession-num&gt;&lt;work-type&gt;Editorial Material&lt;/work-type&gt;&lt;urls&gt;&lt;related-urls&gt;&lt;url&gt;&amp;lt;Go to ISI&amp;gt;://WOS:000313645600011&lt;/url&gt;&lt;/related-urls&gt;&lt;/urls&gt;&lt;electronic-resource-num&gt;10.1007/s10694-012-0268-7&lt;/electronic-resource-num&gt;&lt;language&gt;English&lt;/language&gt;&lt;/record&gt;&lt;/Cite&gt;&lt;/EndNote&gt;</w:instrText>
      </w:r>
      <w:r w:rsidR="009B16CA" w:rsidRPr="00062D56">
        <w:rPr>
          <w:rFonts w:asciiTheme="minorHAnsi" w:hAnsiTheme="minorHAnsi" w:cs="Times New Roman"/>
          <w:sz w:val="24"/>
          <w:szCs w:val="24"/>
          <w:lang w:val="en-GB"/>
        </w:rPr>
        <w:fldChar w:fldCharType="separate"/>
      </w:r>
      <w:r w:rsidR="009B16CA" w:rsidRPr="00062D56">
        <w:rPr>
          <w:rFonts w:asciiTheme="minorHAnsi" w:hAnsiTheme="minorHAnsi" w:cs="Times New Roman"/>
          <w:noProof/>
          <w:sz w:val="24"/>
          <w:szCs w:val="24"/>
          <w:lang w:val="en-GB"/>
        </w:rPr>
        <w:t>[</w:t>
      </w:r>
      <w:hyperlink w:anchor="_ENREF_2" w:tooltip="Ingason, 2013 #17" w:history="1">
        <w:r w:rsidR="009B16CA" w:rsidRPr="00062D56">
          <w:rPr>
            <w:rFonts w:asciiTheme="minorHAnsi" w:hAnsiTheme="minorHAnsi" w:cs="Times New Roman"/>
            <w:noProof/>
            <w:sz w:val="24"/>
            <w:szCs w:val="24"/>
            <w:lang w:val="en-GB"/>
          </w:rPr>
          <w:t>1</w:t>
        </w:r>
      </w:hyperlink>
      <w:r w:rsidR="009B16CA" w:rsidRPr="00062D56">
        <w:rPr>
          <w:rFonts w:asciiTheme="minorHAnsi" w:hAnsiTheme="minorHAnsi" w:cs="Times New Roman"/>
          <w:noProof/>
          <w:sz w:val="24"/>
          <w:szCs w:val="24"/>
          <w:lang w:val="en-GB"/>
        </w:rPr>
        <w:t>]</w:t>
      </w:r>
      <w:r w:rsidR="009B16CA" w:rsidRPr="00062D56">
        <w:rPr>
          <w:rFonts w:asciiTheme="minorHAnsi" w:hAnsiTheme="minorHAnsi" w:cs="Times New Roman"/>
          <w:sz w:val="24"/>
          <w:szCs w:val="24"/>
          <w:lang w:val="en-GB"/>
        </w:rPr>
        <w:fldChar w:fldCharType="end"/>
      </w:r>
      <w:r w:rsidR="009B16CA" w:rsidRPr="00062D56">
        <w:rPr>
          <w:rFonts w:asciiTheme="minorHAnsi" w:hAnsiTheme="minorHAnsi" w:cs="Times New Roman"/>
          <w:sz w:val="24"/>
          <w:szCs w:val="24"/>
          <w:lang w:val="en-GB"/>
        </w:rPr>
        <w:t xml:space="preserve">. </w:t>
      </w:r>
    </w:p>
    <w:p w:rsidR="009B16CA" w:rsidRPr="00062D56" w:rsidRDefault="009B16CA" w:rsidP="00062D56">
      <w:pPr>
        <w:spacing w:after="0" w:line="240" w:lineRule="auto"/>
        <w:ind w:firstLine="369"/>
        <w:jc w:val="both"/>
        <w:rPr>
          <w:rFonts w:asciiTheme="minorHAnsi" w:hAnsiTheme="minorHAnsi" w:cs="Times New Roman"/>
          <w:sz w:val="24"/>
          <w:szCs w:val="24"/>
          <w:lang w:val="en-GB"/>
        </w:rPr>
      </w:pPr>
      <w:r w:rsidRPr="00062D56">
        <w:rPr>
          <w:rFonts w:asciiTheme="minorHAnsi" w:hAnsiTheme="minorHAnsi" w:cs="Times New Roman"/>
          <w:sz w:val="24"/>
          <w:szCs w:val="24"/>
          <w:lang w:val="en-GB"/>
        </w:rPr>
        <w:t xml:space="preserve">Other than that two more elements are needed in developing the Bowtie analysis namely threat, consequences and safety barriers </w:t>
      </w:r>
      <w:r w:rsidRPr="00062D56">
        <w:rPr>
          <w:rFonts w:asciiTheme="minorHAnsi" w:hAnsiTheme="minorHAnsi" w:cs="Times New Roman"/>
          <w:sz w:val="24"/>
          <w:szCs w:val="24"/>
          <w:lang w:val="en-GB"/>
        </w:rPr>
        <w:fldChar w:fldCharType="begin"/>
      </w:r>
      <w:r w:rsidRPr="00062D56">
        <w:rPr>
          <w:rFonts w:asciiTheme="minorHAnsi" w:hAnsiTheme="minorHAnsi" w:cs="Times New Roman"/>
          <w:sz w:val="24"/>
          <w:szCs w:val="24"/>
          <w:lang w:val="en-GB"/>
        </w:rPr>
        <w:instrText xml:space="preserve"> ADDIN EN.CITE &lt;EndNote&gt;&lt;Cite&gt;&lt;Author&gt;A. de Ruijter&lt;/Author&gt;&lt;Year&gt;2016&lt;/Year&gt;&lt;RecNum&gt;20&lt;/RecNum&gt;&lt;DisplayText&gt;[6]&lt;/DisplayText&gt;&lt;record&gt;&lt;rec-number&gt;20&lt;/rec-number&gt;&lt;foreign-keys&gt;&lt;key app="EN" db-id="9wsdwwa0gt0evie5f2axzp97wrrz9w9arxt2" timestamp="1512485945"&gt;20&lt;/key&gt;&lt;/foreign-keys&gt;&lt;ref-type name="Journal Article"&gt;17&lt;/ref-type&gt;&lt;contributors&gt;&lt;authors&gt;&lt;author&gt;A. de Ruijter, F. Guldenmund&lt;/author&gt;&lt;/authors&gt;&lt;/contributors&gt;&lt;titles&gt;&lt;title&gt;The bowtie method: A review&lt;/title&gt;&lt;secondary-title&gt;Safety Science&lt;/secondary-title&gt;&lt;/titles&gt;&lt;periodical&gt;&lt;full-title&gt;Safety Science&lt;/full-title&gt;&lt;/periodical&gt;&lt;pages&gt;211–218&lt;/pages&gt;&lt;volume&gt;88&lt;/volume&gt;&lt;dates&gt;&lt;year&gt;2016&lt;/year&gt;&lt;/dates&gt;&lt;urls&gt;&lt;/urls&gt;&lt;electronic-resource-num&gt;http://dx.doi.org/10.1016/j.ssci.2016.03.001&lt;/electronic-resource-num&gt;&lt;/record&gt;&lt;/Cite&gt;&lt;/EndNote&gt;</w:instrText>
      </w:r>
      <w:r w:rsidRPr="00062D56">
        <w:rPr>
          <w:rFonts w:asciiTheme="minorHAnsi" w:hAnsiTheme="minorHAnsi" w:cs="Times New Roman"/>
          <w:sz w:val="24"/>
          <w:szCs w:val="24"/>
          <w:lang w:val="en-GB"/>
        </w:rPr>
        <w:fldChar w:fldCharType="separate"/>
      </w:r>
      <w:r w:rsidRPr="00062D56">
        <w:rPr>
          <w:rFonts w:asciiTheme="minorHAnsi" w:hAnsiTheme="minorHAnsi" w:cs="Times New Roman"/>
          <w:noProof/>
          <w:sz w:val="24"/>
          <w:szCs w:val="24"/>
          <w:lang w:val="en-GB"/>
        </w:rPr>
        <w:t>[</w:t>
      </w:r>
      <w:hyperlink w:anchor="_ENREF_6" w:tooltip="A. de Ruijter, 2016 #20" w:history="1">
        <w:r w:rsidRPr="00062D56">
          <w:rPr>
            <w:rFonts w:asciiTheme="minorHAnsi" w:hAnsiTheme="minorHAnsi" w:cs="Times New Roman"/>
            <w:noProof/>
            <w:sz w:val="24"/>
            <w:szCs w:val="24"/>
            <w:lang w:val="en-GB"/>
          </w:rPr>
          <w:t>6</w:t>
        </w:r>
      </w:hyperlink>
      <w:r w:rsidRPr="00062D56">
        <w:rPr>
          <w:rFonts w:asciiTheme="minorHAnsi" w:hAnsiTheme="minorHAnsi" w:cs="Times New Roman"/>
          <w:noProof/>
          <w:sz w:val="24"/>
          <w:szCs w:val="24"/>
          <w:lang w:val="en-GB"/>
        </w:rPr>
        <w:t>]</w:t>
      </w:r>
      <w:r w:rsidRPr="00062D56">
        <w:rPr>
          <w:rFonts w:asciiTheme="minorHAnsi" w:hAnsiTheme="minorHAnsi" w:cs="Times New Roman"/>
          <w:sz w:val="24"/>
          <w:szCs w:val="24"/>
          <w:lang w:val="en-GB"/>
        </w:rPr>
        <w:fldChar w:fldCharType="end"/>
      </w:r>
      <w:r w:rsidRPr="00062D56">
        <w:rPr>
          <w:rFonts w:asciiTheme="minorHAnsi" w:hAnsiTheme="minorHAnsi" w:cs="Times New Roman"/>
          <w:sz w:val="24"/>
          <w:szCs w:val="24"/>
          <w:lang w:val="en-GB"/>
        </w:rPr>
        <w:t xml:space="preserve">.   </w:t>
      </w:r>
    </w:p>
    <w:p w:rsidR="009B16CA" w:rsidRPr="00062D56" w:rsidRDefault="00062D56" w:rsidP="00062D56">
      <w:pPr>
        <w:pStyle w:val="Heading1"/>
        <w:numPr>
          <w:ilvl w:val="0"/>
          <w:numId w:val="4"/>
        </w:numPr>
        <w:spacing w:before="240" w:after="240"/>
        <w:ind w:left="270" w:hanging="270"/>
        <w:rPr>
          <w:rFonts w:asciiTheme="minorHAnsi" w:hAnsiTheme="minorHAnsi"/>
          <w:color w:val="auto"/>
          <w:lang w:val="en-GB"/>
        </w:rPr>
      </w:pPr>
      <w:r w:rsidRPr="00062D56">
        <w:rPr>
          <w:rFonts w:asciiTheme="minorHAnsi" w:eastAsia="Calibri" w:hAnsiTheme="minorHAnsi"/>
          <w:color w:val="auto"/>
          <w:sz w:val="24"/>
          <w:szCs w:val="24"/>
          <w:lang w:val="en-GB" w:eastAsia="en-US"/>
        </w:rPr>
        <w:lastRenderedPageBreak/>
        <w:t xml:space="preserve">Methodology </w:t>
      </w:r>
    </w:p>
    <w:p w:rsidR="009B16CA" w:rsidRPr="00062D56" w:rsidRDefault="009B16CA" w:rsidP="00062D56">
      <w:pPr>
        <w:spacing w:after="0" w:line="240" w:lineRule="auto"/>
        <w:ind w:firstLine="369"/>
        <w:jc w:val="both"/>
        <w:rPr>
          <w:rFonts w:asciiTheme="minorHAnsi" w:hAnsiTheme="minorHAnsi"/>
          <w:sz w:val="24"/>
          <w:szCs w:val="24"/>
          <w:lang w:val="en-GB"/>
        </w:rPr>
      </w:pPr>
      <w:r w:rsidRPr="00062D56">
        <w:rPr>
          <w:rFonts w:asciiTheme="minorHAnsi" w:hAnsiTheme="minorHAnsi" w:cs="Times New Roman"/>
          <w:sz w:val="24"/>
          <w:szCs w:val="24"/>
          <w:lang w:val="en-GB"/>
        </w:rPr>
        <w:t>The risk assessment has various tools to assess the risks based on qualitative or quantitative method. The tools used in the risk assessment is made up of Hazard Identification, Risk Assessment &amp; Risk Control (HIRARC), System-Theoretic Accident Model and Processes (STAMP), Hazard and Operability (HAZOP), Bow-Tie, Risk Matrix and much more that can be used to suit the activity and the inherent risks.</w:t>
      </w:r>
      <w:r w:rsidRPr="00062D56">
        <w:rPr>
          <w:rFonts w:asciiTheme="minorHAnsi" w:hAnsiTheme="minorHAnsi"/>
          <w:sz w:val="24"/>
          <w:szCs w:val="24"/>
          <w:lang w:val="en-GB"/>
        </w:rPr>
        <w:t xml:space="preserve"> </w:t>
      </w:r>
    </w:p>
    <w:p w:rsidR="009B16CA" w:rsidRDefault="009B16CA" w:rsidP="00062D56">
      <w:pPr>
        <w:pStyle w:val="Text"/>
        <w:spacing w:line="240" w:lineRule="auto"/>
        <w:ind w:firstLine="369"/>
        <w:rPr>
          <w:rFonts w:asciiTheme="minorHAnsi" w:hAnsiTheme="minorHAnsi"/>
          <w:sz w:val="24"/>
          <w:szCs w:val="24"/>
          <w:lang w:val="en-GB"/>
        </w:rPr>
      </w:pPr>
      <w:r w:rsidRPr="00062D56">
        <w:rPr>
          <w:rFonts w:asciiTheme="minorHAnsi" w:hAnsiTheme="minorHAnsi"/>
          <w:sz w:val="24"/>
          <w:szCs w:val="24"/>
          <w:lang w:val="en-GB"/>
        </w:rPr>
        <w:t>Figure 1 shows the risk matrix of 4x4 that categorizes the likelihood and consequences by nominal textual description as references. This figure shows the use of qualitative methods for determining the probability and consequences of each of the fault tree and event tree of the critical event. As a result, the level of severity will be based on every each causal pathway as shown in Figure 2.</w:t>
      </w:r>
    </w:p>
    <w:p w:rsidR="00062D56" w:rsidRPr="00062D56" w:rsidRDefault="00062D56" w:rsidP="00062D56">
      <w:pPr>
        <w:pStyle w:val="Text"/>
        <w:spacing w:line="240" w:lineRule="auto"/>
        <w:ind w:firstLine="0"/>
        <w:rPr>
          <w:rFonts w:asciiTheme="minorHAnsi" w:hAnsiTheme="minorHAnsi"/>
          <w:sz w:val="24"/>
          <w:szCs w:val="24"/>
          <w:lang w:val="en-GB"/>
        </w:rPr>
      </w:pPr>
    </w:p>
    <w:tbl>
      <w:tblPr>
        <w:tblStyle w:val="TableGrid"/>
        <w:tblW w:w="0" w:type="auto"/>
        <w:jc w:val="center"/>
        <w:tblLook w:val="04A0" w:firstRow="1" w:lastRow="0" w:firstColumn="1" w:lastColumn="0" w:noHBand="0" w:noVBand="1"/>
      </w:tblPr>
      <w:tblGrid>
        <w:gridCol w:w="1412"/>
        <w:gridCol w:w="2014"/>
        <w:gridCol w:w="1928"/>
        <w:gridCol w:w="2151"/>
        <w:gridCol w:w="2231"/>
      </w:tblGrid>
      <w:tr w:rsidR="009B16CA" w:rsidRPr="00A60103" w:rsidTr="00C01771">
        <w:trPr>
          <w:trHeight w:val="794"/>
          <w:jc w:val="center"/>
        </w:trPr>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Insignificant Consequences</w:t>
            </w:r>
          </w:p>
        </w:tc>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Significant Consequences</w:t>
            </w:r>
          </w:p>
        </w:tc>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Serious Accident</w:t>
            </w:r>
          </w:p>
        </w:tc>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Major Accident</w:t>
            </w:r>
          </w:p>
        </w:tc>
      </w:tr>
      <w:tr w:rsidR="009B16CA" w:rsidRPr="00A60103" w:rsidTr="00C01771">
        <w:trPr>
          <w:trHeight w:val="794"/>
          <w:jc w:val="center"/>
        </w:trPr>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Frequent</w:t>
            </w: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00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00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00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r>
      <w:tr w:rsidR="009B16CA" w:rsidRPr="00A60103" w:rsidTr="00C01771">
        <w:trPr>
          <w:trHeight w:val="794"/>
          <w:jc w:val="center"/>
        </w:trPr>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Probable</w:t>
            </w: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00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00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r>
      <w:tr w:rsidR="009B16CA" w:rsidRPr="00A60103" w:rsidTr="00C01771">
        <w:trPr>
          <w:trHeight w:val="794"/>
          <w:jc w:val="center"/>
        </w:trPr>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Improbable</w:t>
            </w:r>
          </w:p>
        </w:tc>
        <w:tc>
          <w:tcPr>
            <w:tcW w:w="0" w:type="auto"/>
            <w:shd w:val="clear" w:color="auto" w:fill="00B05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No personal harm</w:t>
            </w: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Single Fatality and several injured</w:t>
            </w:r>
          </w:p>
        </w:tc>
        <w:tc>
          <w:tcPr>
            <w:tcW w:w="0" w:type="auto"/>
            <w:shd w:val="clear" w:color="auto" w:fill="FF00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Critical Event</w:t>
            </w:r>
          </w:p>
        </w:tc>
      </w:tr>
      <w:tr w:rsidR="009B16CA" w:rsidRPr="00A60103" w:rsidTr="00C01771">
        <w:trPr>
          <w:trHeight w:val="794"/>
          <w:jc w:val="center"/>
        </w:trPr>
        <w:tc>
          <w:tcPr>
            <w:tcW w:w="0" w:type="auto"/>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Very Improbable</w:t>
            </w:r>
          </w:p>
        </w:tc>
        <w:tc>
          <w:tcPr>
            <w:tcW w:w="0" w:type="auto"/>
            <w:shd w:val="clear" w:color="auto" w:fill="00B05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00B05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p>
        </w:tc>
        <w:tc>
          <w:tcPr>
            <w:tcW w:w="0" w:type="auto"/>
            <w:shd w:val="clear" w:color="auto" w:fill="FFFF00"/>
            <w:vAlign w:val="center"/>
          </w:tcPr>
          <w:p w:rsidR="009B16CA" w:rsidRPr="00A60103" w:rsidRDefault="009B16CA" w:rsidP="00A60103">
            <w:pPr>
              <w:pStyle w:val="Text"/>
              <w:spacing w:line="240" w:lineRule="auto"/>
              <w:ind w:firstLine="0"/>
              <w:jc w:val="center"/>
              <w:rPr>
                <w:rFonts w:asciiTheme="minorHAnsi" w:eastAsia="Calibri" w:hAnsiTheme="minorHAnsi"/>
                <w:lang w:val="en-GB"/>
              </w:rPr>
            </w:pPr>
            <w:r w:rsidRPr="00A60103">
              <w:rPr>
                <w:rFonts w:asciiTheme="minorHAnsi" w:eastAsia="Calibri" w:hAnsiTheme="minorHAnsi"/>
                <w:lang w:val="en-GB"/>
              </w:rPr>
              <w:t>Several Fatalities and many injured</w:t>
            </w:r>
          </w:p>
        </w:tc>
      </w:tr>
    </w:tbl>
    <w:p w:rsidR="009B16CA" w:rsidRPr="00A60103" w:rsidRDefault="00A60103" w:rsidP="009B16CA">
      <w:pPr>
        <w:spacing w:before="120" w:after="240" w:line="240" w:lineRule="auto"/>
        <w:jc w:val="center"/>
        <w:rPr>
          <w:rFonts w:asciiTheme="minorHAnsi" w:hAnsiTheme="minorHAnsi" w:cs="Times New Roman"/>
          <w:lang w:val="en-GB"/>
        </w:rPr>
      </w:pPr>
      <w:r w:rsidRPr="00A60103">
        <w:rPr>
          <w:rFonts w:asciiTheme="minorHAnsi" w:hAnsiTheme="minorHAnsi" w:cs="Times New Roman"/>
          <w:b/>
          <w:lang w:val="en-GB"/>
        </w:rPr>
        <w:t xml:space="preserve">Fig. </w:t>
      </w:r>
      <w:r w:rsidR="009B16CA" w:rsidRPr="00A60103">
        <w:rPr>
          <w:rFonts w:asciiTheme="minorHAnsi" w:hAnsiTheme="minorHAnsi" w:cs="Times New Roman"/>
          <w:b/>
          <w:lang w:val="en-GB"/>
        </w:rPr>
        <w:t>1</w:t>
      </w:r>
      <w:r w:rsidRPr="00A60103">
        <w:rPr>
          <w:rFonts w:asciiTheme="minorHAnsi" w:hAnsiTheme="minorHAnsi" w:cs="Times New Roman"/>
          <w:b/>
          <w:lang w:val="en-GB"/>
        </w:rPr>
        <w:t>.</w:t>
      </w:r>
      <w:r w:rsidR="009B16CA" w:rsidRPr="00A60103">
        <w:rPr>
          <w:rFonts w:asciiTheme="minorHAnsi" w:hAnsiTheme="minorHAnsi" w:cs="Times New Roman"/>
          <w:lang w:val="en-GB"/>
        </w:rPr>
        <w:t xml:space="preserve"> The risk matrix 4x4 that will categorize the likelihood and consequences</w:t>
      </w:r>
    </w:p>
    <w:p w:rsidR="009B16CA" w:rsidRPr="00C15A97" w:rsidRDefault="009B16CA" w:rsidP="009B16CA">
      <w:pPr>
        <w:spacing w:before="240" w:after="240" w:line="240" w:lineRule="auto"/>
        <w:jc w:val="center"/>
        <w:rPr>
          <w:lang w:val="en-GB"/>
        </w:rPr>
      </w:pPr>
    </w:p>
    <w:p w:rsidR="009B16CA" w:rsidRPr="00C15A97" w:rsidRDefault="009B16CA" w:rsidP="009B16CA">
      <w:pPr>
        <w:spacing w:before="240" w:after="0" w:line="240" w:lineRule="auto"/>
        <w:jc w:val="center"/>
        <w:rPr>
          <w:lang w:val="en-GB"/>
        </w:rPr>
      </w:pPr>
      <w:r w:rsidRPr="00C15A97">
        <w:rPr>
          <w:noProof/>
        </w:rPr>
        <w:drawing>
          <wp:inline distT="0" distB="0" distL="0" distR="0" wp14:anchorId="195D59CA" wp14:editId="2D4A5341">
            <wp:extent cx="3516738" cy="1769375"/>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 matrik3.jpg"/>
                    <pic:cNvPicPr/>
                  </pic:nvPicPr>
                  <pic:blipFill rotWithShape="1">
                    <a:blip r:embed="rId10">
                      <a:extLst>
                        <a:ext uri="{28A0092B-C50C-407E-A947-70E740481C1C}">
                          <a14:useLocalDpi xmlns:a14="http://schemas.microsoft.com/office/drawing/2010/main" val="0"/>
                        </a:ext>
                      </a:extLst>
                    </a:blip>
                    <a:srcRect b="45448"/>
                    <a:stretch/>
                  </pic:blipFill>
                  <pic:spPr bwMode="auto">
                    <a:xfrm>
                      <a:off x="0" y="0"/>
                      <a:ext cx="3530263" cy="17761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B16CA" w:rsidRDefault="00A60103" w:rsidP="009B16CA">
      <w:pPr>
        <w:spacing w:after="240" w:line="240" w:lineRule="auto"/>
        <w:jc w:val="center"/>
        <w:rPr>
          <w:rFonts w:asciiTheme="minorHAnsi" w:hAnsiTheme="minorHAnsi" w:cs="Times New Roman"/>
          <w:lang w:val="en-GB"/>
        </w:rPr>
      </w:pPr>
      <w:r w:rsidRPr="00A60103">
        <w:rPr>
          <w:rFonts w:asciiTheme="minorHAnsi" w:hAnsiTheme="minorHAnsi" w:cs="Times New Roman"/>
          <w:b/>
          <w:lang w:val="en-GB"/>
        </w:rPr>
        <w:t>Fig. 2.</w:t>
      </w:r>
      <w:r w:rsidR="009B16CA" w:rsidRPr="00A60103">
        <w:rPr>
          <w:rFonts w:asciiTheme="minorHAnsi" w:hAnsiTheme="minorHAnsi" w:cs="Times New Roman"/>
          <w:lang w:val="en-GB"/>
        </w:rPr>
        <w:t xml:space="preserve"> Level of severity based on every each causal pathway </w:t>
      </w:r>
      <w:r w:rsidR="009B16CA" w:rsidRPr="00A60103">
        <w:rPr>
          <w:rFonts w:asciiTheme="minorHAnsi" w:hAnsiTheme="minorHAnsi" w:cs="Times New Roman"/>
          <w:lang w:val="en-GB"/>
        </w:rPr>
        <w:fldChar w:fldCharType="begin"/>
      </w:r>
      <w:r w:rsidR="009B16CA" w:rsidRPr="00A60103">
        <w:rPr>
          <w:rFonts w:asciiTheme="minorHAnsi" w:hAnsiTheme="minorHAnsi" w:cs="Times New Roman"/>
          <w:lang w:val="en-GB"/>
        </w:rPr>
        <w:instrText xml:space="preserve"> ADDIN EN.CITE &lt;EndNote&gt;&lt;Cite&gt;&lt;Author&gt;Duijm&lt;/Author&gt;&lt;Year&gt;2015&lt;/Year&gt;&lt;RecNum&gt;25&lt;/RecNum&gt;&lt;DisplayText&gt;[8]&lt;/DisplayText&gt;&lt;record&gt;&lt;rec-number&gt;25&lt;/rec-number&gt;&lt;foreign-keys&gt;&lt;key app="EN" db-id="9wsdwwa0gt0evie5f2axzp97wrrz9w9arxt2" timestamp="1512566343"&gt;25&lt;/key&gt;&lt;/foreign-keys&gt;&lt;ref-type name="Journal Article"&gt;17&lt;/ref-type&gt;&lt;contributors&gt;&lt;authors&gt;&lt;author&gt;Duijm, N. J.&lt;/author&gt;&lt;/authors&gt;&lt;/contributors&gt;&lt;auth-address&gt;Tech Univ Denmark DTU, Dept Engn Management, Prod Storvet, DK-2800 Lyngby, Denmark.&amp;#xD;Duijm, NJ (reprint author), Tech Univ Denmark DTU, Dept Engn Management, Prod Storvet, Bldg 426, DK-2800 Lyngby, Denmark.&amp;#xD;nidu@dtu.dk&lt;/auth-address&gt;&lt;titles&gt;&lt;title&gt;Recommendations on the use and design of risk matrices&lt;/title&gt;&lt;secondary-title&gt;Safety Science&lt;/secondary-title&gt;&lt;alt-title&gt;Saf. Sci.&lt;/alt-title&gt;&lt;/titles&gt;&lt;periodical&gt;&lt;full-title&gt;Safety Science&lt;/full-title&gt;&lt;/periodical&gt;&lt;pages&gt;21-31&lt;/pages&gt;&lt;volume&gt;76&lt;/volume&gt;&lt;keywords&gt;&lt;keyword&gt;Risk matrix&lt;/keyword&gt;&lt;keyword&gt;Risk analysis&lt;/keyword&gt;&lt;keyword&gt;Risk assessment&lt;/keyword&gt;&lt;keyword&gt;Risk management&lt;/keyword&gt;&lt;/keywords&gt;&lt;dates&gt;&lt;year&gt;2015&lt;/year&gt;&lt;pub-dates&gt;&lt;date&gt;Jul&lt;/date&gt;&lt;/pub-dates&gt;&lt;/dates&gt;&lt;isbn&gt;0925-7535&lt;/isbn&gt;&lt;accession-num&gt;WOS:000353749400003&lt;/accession-num&gt;&lt;work-type&gt;Review&lt;/work-type&gt;&lt;urls&gt;&lt;related-urls&gt;&lt;url&gt;&amp;lt;Go to ISI&amp;gt;://WOS:000353749400003&lt;/url&gt;&lt;/related-urls&gt;&lt;/urls&gt;&lt;electronic-resource-num&gt;10.1016/j.ssci.2015.02.014&lt;/electronic-resource-num&gt;&lt;language&gt;English&lt;/language&gt;&lt;/record&gt;&lt;/Cite&gt;&lt;/EndNote&gt;</w:instrText>
      </w:r>
      <w:r w:rsidR="009B16CA" w:rsidRPr="00A60103">
        <w:rPr>
          <w:rFonts w:asciiTheme="minorHAnsi" w:hAnsiTheme="minorHAnsi" w:cs="Times New Roman"/>
          <w:lang w:val="en-GB"/>
        </w:rPr>
        <w:fldChar w:fldCharType="separate"/>
      </w:r>
      <w:r w:rsidR="009B16CA" w:rsidRPr="00A60103">
        <w:rPr>
          <w:rFonts w:asciiTheme="minorHAnsi" w:hAnsiTheme="minorHAnsi" w:cs="Times New Roman"/>
          <w:noProof/>
          <w:lang w:val="en-GB"/>
        </w:rPr>
        <w:t>[</w:t>
      </w:r>
      <w:hyperlink w:anchor="_ENREF_8" w:tooltip="Duijm, 2015 #25" w:history="1">
        <w:r w:rsidR="009B16CA" w:rsidRPr="00A60103">
          <w:rPr>
            <w:rFonts w:asciiTheme="minorHAnsi" w:hAnsiTheme="minorHAnsi" w:cs="Times New Roman"/>
            <w:noProof/>
            <w:lang w:val="en-GB"/>
          </w:rPr>
          <w:t>8</w:t>
        </w:r>
      </w:hyperlink>
      <w:r w:rsidR="009B16CA" w:rsidRPr="00A60103">
        <w:rPr>
          <w:rFonts w:asciiTheme="minorHAnsi" w:hAnsiTheme="minorHAnsi" w:cs="Times New Roman"/>
          <w:noProof/>
          <w:lang w:val="en-GB"/>
        </w:rPr>
        <w:t>]</w:t>
      </w:r>
      <w:r w:rsidR="009B16CA" w:rsidRPr="00A60103">
        <w:rPr>
          <w:rFonts w:asciiTheme="minorHAnsi" w:hAnsiTheme="minorHAnsi" w:cs="Times New Roman"/>
          <w:lang w:val="en-GB"/>
        </w:rPr>
        <w:fldChar w:fldCharType="end"/>
      </w:r>
    </w:p>
    <w:p w:rsidR="00F6691A" w:rsidRPr="00A60103" w:rsidRDefault="00F6691A" w:rsidP="009B16CA">
      <w:pPr>
        <w:spacing w:after="240" w:line="240" w:lineRule="auto"/>
        <w:jc w:val="center"/>
        <w:rPr>
          <w:rFonts w:asciiTheme="minorHAnsi" w:hAnsiTheme="minorHAnsi" w:cs="Times New Roman"/>
          <w:lang w:val="en-GB"/>
        </w:rPr>
      </w:pPr>
    </w:p>
    <w:p w:rsidR="00A60103" w:rsidRDefault="00A60103" w:rsidP="00A60103">
      <w:pPr>
        <w:pStyle w:val="Text"/>
        <w:widowControl/>
        <w:numPr>
          <w:ilvl w:val="0"/>
          <w:numId w:val="4"/>
        </w:numPr>
        <w:spacing w:line="240" w:lineRule="auto"/>
        <w:ind w:left="270" w:hanging="270"/>
        <w:rPr>
          <w:rFonts w:asciiTheme="minorHAnsi" w:eastAsia="Calibri" w:hAnsiTheme="minorHAnsi"/>
          <w:b/>
          <w:bCs/>
          <w:sz w:val="24"/>
          <w:szCs w:val="22"/>
          <w:lang w:val="en-GB"/>
        </w:rPr>
      </w:pPr>
      <w:r w:rsidRPr="00A60103">
        <w:rPr>
          <w:rFonts w:asciiTheme="minorHAnsi" w:eastAsia="Calibri" w:hAnsiTheme="minorHAnsi"/>
          <w:b/>
          <w:bCs/>
          <w:sz w:val="24"/>
          <w:szCs w:val="22"/>
          <w:lang w:val="en-GB"/>
        </w:rPr>
        <w:t xml:space="preserve">Results and Discussion </w:t>
      </w:r>
    </w:p>
    <w:p w:rsidR="00A60103" w:rsidRPr="00A60103" w:rsidRDefault="00A60103" w:rsidP="00A60103">
      <w:pPr>
        <w:pStyle w:val="Text"/>
        <w:widowControl/>
        <w:spacing w:line="240" w:lineRule="auto"/>
        <w:ind w:left="270" w:firstLine="0"/>
        <w:rPr>
          <w:rFonts w:asciiTheme="minorHAnsi" w:eastAsia="Calibri" w:hAnsiTheme="minorHAnsi"/>
          <w:b/>
          <w:bCs/>
          <w:sz w:val="24"/>
          <w:szCs w:val="22"/>
          <w:lang w:val="en-GB"/>
        </w:rPr>
      </w:pPr>
    </w:p>
    <w:p w:rsidR="009B16CA" w:rsidRPr="00A60103" w:rsidRDefault="009B16CA" w:rsidP="00A60103">
      <w:pPr>
        <w:pStyle w:val="Text"/>
        <w:widowControl/>
        <w:spacing w:line="240" w:lineRule="auto"/>
        <w:ind w:firstLine="369"/>
        <w:rPr>
          <w:rFonts w:asciiTheme="minorHAnsi" w:eastAsia="Calibri" w:hAnsiTheme="minorHAnsi"/>
          <w:sz w:val="24"/>
          <w:szCs w:val="22"/>
          <w:lang w:val="en-GB"/>
        </w:rPr>
      </w:pPr>
      <w:r w:rsidRPr="00A60103">
        <w:rPr>
          <w:rFonts w:asciiTheme="minorHAnsi" w:eastAsia="Calibri" w:hAnsiTheme="minorHAnsi"/>
          <w:sz w:val="24"/>
          <w:szCs w:val="22"/>
          <w:lang w:val="en-GB"/>
        </w:rPr>
        <w:t xml:space="preserve">All data collection was gathered based on the qualitative and quantitative analysis approach through conducting observation, interview and survey questionnaire. </w:t>
      </w:r>
      <w:r w:rsidRPr="00A60103">
        <w:rPr>
          <w:rFonts w:asciiTheme="minorHAnsi" w:hAnsiTheme="minorHAnsi"/>
          <w:sz w:val="24"/>
          <w:szCs w:val="24"/>
          <w:lang w:val="en-GB"/>
        </w:rPr>
        <w:t xml:space="preserve">Based on real-time observation and feedback from the staff and technician of the maintenance tunnel team, they were not aware of </w:t>
      </w:r>
      <w:r w:rsidRPr="00A60103">
        <w:rPr>
          <w:rFonts w:asciiTheme="minorHAnsi" w:hAnsiTheme="minorHAnsi"/>
          <w:sz w:val="24"/>
          <w:szCs w:val="24"/>
          <w:lang w:val="en-GB"/>
        </w:rPr>
        <w:lastRenderedPageBreak/>
        <w:t>the risk that could be inflicted on them as there were no risk assessment has ever been conducted. The team were not aware of the risk of working at high, confine space, live power of 11 kilovolt-ampere (kVA) and energize transformers, as well as facing the live traffic of expressway users. Most of their work involves the use of live powers from 240 volt-ampere (VA) until 11 kilovolt-ampere (kVA) (maximum transformer capacity) which could lead to fire disaster on the expressway tunnel. One discussion was conducted to get the feedback from all staff whereby relevant safety and health concerns have been raised by staff and technician. One of the feedback was related to an accident that occurred during energized power causing a small flash over to the transformer however, without causing any injuries. It was also found that, any risks arising from electrical maintenance work were thought to be common risks associated with the field of work by the technicians and the presence of danger had been compromised without any proper source of guidelines. This is due to hazard identification and risk assessment are not sufficiently introduced in a basic level of work.</w:t>
      </w:r>
    </w:p>
    <w:p w:rsidR="00A60103" w:rsidRPr="00A60103" w:rsidRDefault="00A60103" w:rsidP="00A60103">
      <w:pPr>
        <w:pStyle w:val="Text"/>
        <w:widowControl/>
        <w:spacing w:line="240" w:lineRule="auto"/>
        <w:ind w:firstLine="369"/>
        <w:rPr>
          <w:rFonts w:asciiTheme="minorHAnsi" w:eastAsia="Calibri" w:hAnsiTheme="minorHAnsi"/>
          <w:sz w:val="24"/>
          <w:szCs w:val="22"/>
          <w:lang w:val="en-GB"/>
        </w:rPr>
      </w:pPr>
    </w:p>
    <w:p w:rsidR="00A60103" w:rsidRPr="00A60103" w:rsidRDefault="00A60103" w:rsidP="00A60103">
      <w:pPr>
        <w:pStyle w:val="Text"/>
        <w:widowControl/>
        <w:spacing w:line="240" w:lineRule="auto"/>
        <w:ind w:firstLine="0"/>
        <w:rPr>
          <w:rFonts w:asciiTheme="minorHAnsi" w:hAnsiTheme="minorHAnsi"/>
          <w:b/>
          <w:sz w:val="22"/>
          <w:szCs w:val="22"/>
          <w:lang w:val="en-GB"/>
        </w:rPr>
      </w:pPr>
      <w:r w:rsidRPr="00A60103">
        <w:rPr>
          <w:rFonts w:asciiTheme="minorHAnsi" w:hAnsiTheme="minorHAnsi"/>
          <w:b/>
          <w:sz w:val="22"/>
          <w:szCs w:val="22"/>
          <w:lang w:val="en-GB"/>
        </w:rPr>
        <w:t>Table 1</w:t>
      </w:r>
    </w:p>
    <w:p w:rsidR="009B16CA" w:rsidRPr="00A60103" w:rsidRDefault="009B16CA" w:rsidP="00A60103">
      <w:pPr>
        <w:pStyle w:val="Text"/>
        <w:widowControl/>
        <w:spacing w:line="240" w:lineRule="auto"/>
        <w:ind w:firstLine="0"/>
        <w:rPr>
          <w:rFonts w:asciiTheme="minorHAnsi" w:hAnsiTheme="minorHAnsi"/>
          <w:sz w:val="22"/>
          <w:szCs w:val="22"/>
          <w:lang w:val="en-GB"/>
        </w:rPr>
      </w:pPr>
      <w:r w:rsidRPr="00A60103">
        <w:rPr>
          <w:rFonts w:asciiTheme="minorHAnsi" w:hAnsiTheme="minorHAnsi"/>
          <w:sz w:val="22"/>
          <w:szCs w:val="22"/>
          <w:lang w:val="en-GB"/>
        </w:rPr>
        <w:t>The risk identified from data collection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613"/>
        <w:gridCol w:w="4245"/>
        <w:gridCol w:w="732"/>
        <w:gridCol w:w="732"/>
        <w:gridCol w:w="1063"/>
      </w:tblGrid>
      <w:tr w:rsidR="009B16CA" w:rsidRPr="00A60103" w:rsidTr="00A60103">
        <w:tc>
          <w:tcPr>
            <w:tcW w:w="1494" w:type="dxa"/>
            <w:tcBorders>
              <w:top w:val="single" w:sz="4" w:space="0" w:color="auto"/>
              <w:bottom w:val="single" w:sz="4" w:space="0" w:color="auto"/>
            </w:tcBorders>
            <w:shd w:val="clear" w:color="auto" w:fill="FFFFFF" w:themeFill="background1"/>
            <w:vAlign w:val="center"/>
          </w:tcPr>
          <w:p w:rsidR="009B16CA" w:rsidRPr="00A60103" w:rsidRDefault="009B16CA" w:rsidP="00C01771">
            <w:pPr>
              <w:spacing w:after="0" w:line="240" w:lineRule="auto"/>
              <w:ind w:right="72"/>
              <w:jc w:val="center"/>
              <w:rPr>
                <w:rFonts w:asciiTheme="minorHAnsi" w:hAnsiTheme="minorHAnsi" w:cs="Times New Roman"/>
                <w:b/>
                <w:sz w:val="20"/>
                <w:szCs w:val="20"/>
                <w:lang w:val="en-GB"/>
              </w:rPr>
            </w:pPr>
            <w:r w:rsidRPr="00A60103">
              <w:rPr>
                <w:rFonts w:asciiTheme="minorHAnsi" w:hAnsiTheme="minorHAnsi" w:cs="Times New Roman"/>
                <w:b/>
                <w:sz w:val="20"/>
                <w:szCs w:val="20"/>
                <w:lang w:val="en-GB"/>
              </w:rPr>
              <w:t>Type of Risk/Hazard</w:t>
            </w:r>
          </w:p>
        </w:tc>
        <w:tc>
          <w:tcPr>
            <w:tcW w:w="613" w:type="dxa"/>
            <w:tcBorders>
              <w:top w:val="single" w:sz="4" w:space="0" w:color="auto"/>
              <w:bottom w:val="single" w:sz="4" w:space="0" w:color="auto"/>
            </w:tcBorders>
            <w:shd w:val="clear" w:color="auto" w:fill="FFFFFF" w:themeFill="background1"/>
            <w:vAlign w:val="center"/>
          </w:tcPr>
          <w:p w:rsidR="009B16CA" w:rsidRPr="00A60103" w:rsidRDefault="009B16CA" w:rsidP="00C01771">
            <w:pPr>
              <w:tabs>
                <w:tab w:val="left" w:pos="10"/>
              </w:tabs>
              <w:spacing w:after="0" w:line="240" w:lineRule="auto"/>
              <w:ind w:right="19"/>
              <w:jc w:val="center"/>
              <w:rPr>
                <w:rFonts w:asciiTheme="minorHAnsi" w:hAnsiTheme="minorHAnsi" w:cs="Times New Roman"/>
                <w:b/>
                <w:sz w:val="20"/>
                <w:szCs w:val="20"/>
                <w:lang w:val="en-GB"/>
              </w:rPr>
            </w:pPr>
            <w:r w:rsidRPr="00A60103">
              <w:rPr>
                <w:rFonts w:asciiTheme="minorHAnsi" w:hAnsiTheme="minorHAnsi" w:cs="Times New Roman"/>
                <w:b/>
                <w:sz w:val="20"/>
                <w:szCs w:val="20"/>
                <w:lang w:val="en-GB"/>
              </w:rPr>
              <w:t>No.</w:t>
            </w:r>
          </w:p>
        </w:tc>
        <w:tc>
          <w:tcPr>
            <w:tcW w:w="4245" w:type="dxa"/>
            <w:tcBorders>
              <w:top w:val="single" w:sz="4" w:space="0" w:color="auto"/>
              <w:bottom w:val="single" w:sz="4" w:space="0" w:color="auto"/>
            </w:tcBorders>
            <w:shd w:val="clear" w:color="auto" w:fill="FFFFFF" w:themeFill="background1"/>
            <w:vAlign w:val="center"/>
          </w:tcPr>
          <w:p w:rsidR="009B16CA" w:rsidRPr="00A60103" w:rsidRDefault="009B16CA" w:rsidP="00C01771">
            <w:pPr>
              <w:spacing w:after="0" w:line="240" w:lineRule="auto"/>
              <w:ind w:right="577"/>
              <w:jc w:val="center"/>
              <w:rPr>
                <w:rFonts w:asciiTheme="minorHAnsi" w:hAnsiTheme="minorHAnsi" w:cs="Times New Roman"/>
                <w:b/>
                <w:sz w:val="20"/>
                <w:szCs w:val="20"/>
                <w:lang w:val="en-GB"/>
              </w:rPr>
            </w:pPr>
            <w:r w:rsidRPr="00A60103">
              <w:rPr>
                <w:rFonts w:asciiTheme="minorHAnsi" w:hAnsiTheme="minorHAnsi" w:cs="Times New Roman"/>
                <w:b/>
                <w:sz w:val="20"/>
                <w:szCs w:val="20"/>
                <w:lang w:val="en-GB"/>
              </w:rPr>
              <w:t>Description</w:t>
            </w:r>
          </w:p>
        </w:tc>
        <w:tc>
          <w:tcPr>
            <w:tcW w:w="732" w:type="dxa"/>
            <w:tcBorders>
              <w:top w:val="single" w:sz="4" w:space="0" w:color="auto"/>
              <w:bottom w:val="single" w:sz="4" w:space="0" w:color="auto"/>
            </w:tcBorders>
            <w:shd w:val="clear" w:color="auto" w:fill="FFFFFF" w:themeFill="background1"/>
            <w:vAlign w:val="center"/>
          </w:tcPr>
          <w:p w:rsidR="009B16CA" w:rsidRPr="00A60103" w:rsidRDefault="009B16CA" w:rsidP="00C01771">
            <w:pPr>
              <w:spacing w:after="0" w:line="240" w:lineRule="auto"/>
              <w:ind w:right="-76"/>
              <w:jc w:val="center"/>
              <w:rPr>
                <w:rFonts w:asciiTheme="minorHAnsi" w:hAnsiTheme="minorHAnsi" w:cs="Times New Roman"/>
                <w:b/>
                <w:sz w:val="20"/>
                <w:szCs w:val="20"/>
                <w:lang w:val="en-GB"/>
              </w:rPr>
            </w:pPr>
            <w:r w:rsidRPr="00A60103">
              <w:rPr>
                <w:rFonts w:asciiTheme="minorHAnsi" w:hAnsiTheme="minorHAnsi" w:cs="Times New Roman"/>
                <w:b/>
                <w:sz w:val="20"/>
                <w:szCs w:val="20"/>
                <w:lang w:val="en-GB"/>
              </w:rPr>
              <w:t>*L</w:t>
            </w:r>
          </w:p>
        </w:tc>
        <w:tc>
          <w:tcPr>
            <w:tcW w:w="732" w:type="dxa"/>
            <w:tcBorders>
              <w:top w:val="single" w:sz="4" w:space="0" w:color="auto"/>
              <w:bottom w:val="single" w:sz="4" w:space="0" w:color="auto"/>
            </w:tcBorders>
            <w:shd w:val="clear" w:color="auto" w:fill="FFFFFF" w:themeFill="background1"/>
            <w:vAlign w:val="center"/>
          </w:tcPr>
          <w:p w:rsidR="009B16CA" w:rsidRPr="00A60103" w:rsidRDefault="009B16CA" w:rsidP="00C01771">
            <w:pPr>
              <w:spacing w:after="0" w:line="240" w:lineRule="auto"/>
              <w:ind w:right="-76"/>
              <w:jc w:val="center"/>
              <w:rPr>
                <w:rFonts w:asciiTheme="minorHAnsi" w:hAnsiTheme="minorHAnsi" w:cs="Times New Roman"/>
                <w:b/>
                <w:sz w:val="20"/>
                <w:szCs w:val="20"/>
                <w:lang w:val="en-GB"/>
              </w:rPr>
            </w:pPr>
            <w:r w:rsidRPr="00A60103">
              <w:rPr>
                <w:rFonts w:asciiTheme="minorHAnsi" w:hAnsiTheme="minorHAnsi" w:cs="Times New Roman"/>
                <w:b/>
                <w:sz w:val="20"/>
                <w:szCs w:val="20"/>
                <w:lang w:val="en-GB"/>
              </w:rPr>
              <w:t>*S</w:t>
            </w:r>
          </w:p>
        </w:tc>
        <w:tc>
          <w:tcPr>
            <w:tcW w:w="1063" w:type="dxa"/>
            <w:tcBorders>
              <w:top w:val="single" w:sz="4" w:space="0" w:color="auto"/>
              <w:bottom w:val="single" w:sz="4" w:space="0" w:color="auto"/>
            </w:tcBorders>
            <w:shd w:val="clear" w:color="auto" w:fill="FFFFFF" w:themeFill="background1"/>
            <w:vAlign w:val="center"/>
          </w:tcPr>
          <w:p w:rsidR="009B16CA" w:rsidRPr="00A60103" w:rsidRDefault="009B16CA" w:rsidP="00C01771">
            <w:pPr>
              <w:spacing w:after="0" w:line="240" w:lineRule="auto"/>
              <w:ind w:right="-76"/>
              <w:jc w:val="center"/>
              <w:rPr>
                <w:rFonts w:asciiTheme="minorHAnsi" w:hAnsiTheme="minorHAnsi" w:cs="Times New Roman"/>
                <w:b/>
                <w:sz w:val="20"/>
                <w:szCs w:val="20"/>
                <w:lang w:val="en-GB"/>
              </w:rPr>
            </w:pPr>
            <w:r w:rsidRPr="00A60103">
              <w:rPr>
                <w:rFonts w:asciiTheme="minorHAnsi" w:hAnsiTheme="minorHAnsi" w:cs="Times New Roman"/>
                <w:b/>
                <w:sz w:val="20"/>
                <w:szCs w:val="20"/>
                <w:lang w:val="en-GB"/>
              </w:rPr>
              <w:t>Risk Rating (*Lx*S)</w:t>
            </w:r>
          </w:p>
        </w:tc>
      </w:tr>
      <w:tr w:rsidR="009B16CA" w:rsidRPr="00A60103" w:rsidTr="00A60103">
        <w:tc>
          <w:tcPr>
            <w:tcW w:w="1494" w:type="dxa"/>
            <w:vMerge w:val="restart"/>
            <w:tcBorders>
              <w:top w:val="single" w:sz="4" w:space="0" w:color="auto"/>
            </w:tcBorders>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Safety</w:t>
            </w:r>
          </w:p>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(Acute Impact)</w:t>
            </w:r>
          </w:p>
        </w:tc>
        <w:tc>
          <w:tcPr>
            <w:tcW w:w="613" w:type="dxa"/>
            <w:tcBorders>
              <w:top w:val="single" w:sz="4" w:space="0" w:color="auto"/>
            </w:tcBorders>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w:t>
            </w:r>
          </w:p>
        </w:tc>
        <w:tc>
          <w:tcPr>
            <w:tcW w:w="4245" w:type="dxa"/>
            <w:tcBorders>
              <w:top w:val="single" w:sz="4" w:space="0" w:color="auto"/>
            </w:tcBorders>
            <w:vAlign w:val="center"/>
          </w:tcPr>
          <w:p w:rsidR="009B16CA" w:rsidRPr="00A60103" w:rsidRDefault="009B16CA" w:rsidP="00C01771">
            <w:pPr>
              <w:spacing w:after="0" w:line="240" w:lineRule="auto"/>
              <w:rPr>
                <w:rFonts w:asciiTheme="minorHAnsi" w:hAnsiTheme="minorHAnsi" w:cs="Times New Roman"/>
                <w:sz w:val="20"/>
                <w:szCs w:val="20"/>
                <w:lang w:val="en-GB"/>
              </w:rPr>
            </w:pPr>
            <w:r w:rsidRPr="00A60103">
              <w:rPr>
                <w:rFonts w:asciiTheme="minorHAnsi" w:hAnsiTheme="minorHAnsi" w:cs="Times New Roman"/>
                <w:sz w:val="20"/>
                <w:szCs w:val="20"/>
                <w:lang w:val="en-GB"/>
              </w:rPr>
              <w:t>Expose to unguarded moving mechanical part</w:t>
            </w:r>
          </w:p>
        </w:tc>
        <w:tc>
          <w:tcPr>
            <w:tcW w:w="732" w:type="dxa"/>
            <w:tcBorders>
              <w:top w:val="single" w:sz="4" w:space="0" w:color="auto"/>
            </w:tcBorders>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w:t>
            </w:r>
          </w:p>
        </w:tc>
        <w:tc>
          <w:tcPr>
            <w:tcW w:w="732" w:type="dxa"/>
            <w:tcBorders>
              <w:top w:val="single" w:sz="4" w:space="0" w:color="auto"/>
            </w:tcBorders>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1063" w:type="dxa"/>
            <w:tcBorders>
              <w:top w:val="single" w:sz="4" w:space="0" w:color="auto"/>
            </w:tcBorders>
            <w:shd w:val="clear" w:color="auto" w:fill="FFFF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Medium</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w:t>
            </w:r>
          </w:p>
        </w:tc>
        <w:tc>
          <w:tcPr>
            <w:tcW w:w="4245" w:type="dxa"/>
            <w:vAlign w:val="center"/>
          </w:tcPr>
          <w:p w:rsidR="009B16CA" w:rsidRPr="00A60103" w:rsidRDefault="009B16CA" w:rsidP="00C01771">
            <w:pPr>
              <w:spacing w:after="0" w:line="240" w:lineRule="auto"/>
              <w:ind w:right="7"/>
              <w:rPr>
                <w:rFonts w:asciiTheme="minorHAnsi" w:hAnsiTheme="minorHAnsi" w:cs="Times New Roman"/>
                <w:sz w:val="20"/>
                <w:szCs w:val="20"/>
                <w:lang w:val="en-GB"/>
              </w:rPr>
            </w:pPr>
            <w:r w:rsidRPr="00A60103">
              <w:rPr>
                <w:rFonts w:asciiTheme="minorHAnsi" w:hAnsiTheme="minorHAnsi" w:cs="Times New Roman"/>
                <w:sz w:val="20"/>
                <w:szCs w:val="20"/>
                <w:lang w:val="en-GB"/>
              </w:rPr>
              <w:t>Integrity of Scaffold – Scaffolding topple</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1063" w:type="dxa"/>
            <w:shd w:val="clear" w:color="auto" w:fill="FFFF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Medium</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4245" w:type="dxa"/>
            <w:vAlign w:val="center"/>
          </w:tcPr>
          <w:p w:rsidR="009B16CA" w:rsidRPr="00A60103" w:rsidRDefault="009B16CA" w:rsidP="00C01771">
            <w:pPr>
              <w:spacing w:after="0" w:line="240" w:lineRule="auto"/>
              <w:ind w:right="-135"/>
              <w:rPr>
                <w:rFonts w:asciiTheme="minorHAnsi" w:hAnsiTheme="minorHAnsi" w:cs="Times New Roman"/>
                <w:sz w:val="20"/>
                <w:szCs w:val="20"/>
                <w:lang w:val="en-GB"/>
              </w:rPr>
            </w:pPr>
            <w:r w:rsidRPr="00A60103">
              <w:rPr>
                <w:rFonts w:asciiTheme="minorHAnsi" w:hAnsiTheme="minorHAnsi" w:cs="Times New Roman"/>
                <w:sz w:val="20"/>
                <w:szCs w:val="20"/>
                <w:lang w:val="en-GB"/>
              </w:rPr>
              <w:t>Hand expose with the sharp object</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w:t>
            </w:r>
          </w:p>
        </w:tc>
        <w:tc>
          <w:tcPr>
            <w:tcW w:w="1063" w:type="dxa"/>
            <w:shd w:val="clear" w:color="auto" w:fill="FFFF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Medium</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4245" w:type="dxa"/>
            <w:vAlign w:val="center"/>
          </w:tcPr>
          <w:p w:rsidR="009B16CA" w:rsidRPr="00A60103" w:rsidRDefault="009B16CA" w:rsidP="00C01771">
            <w:pPr>
              <w:spacing w:after="0" w:line="240" w:lineRule="auto"/>
              <w:rPr>
                <w:rFonts w:asciiTheme="minorHAnsi" w:hAnsiTheme="minorHAnsi" w:cs="Times New Roman"/>
                <w:sz w:val="20"/>
                <w:szCs w:val="20"/>
                <w:lang w:val="en-GB"/>
              </w:rPr>
            </w:pPr>
            <w:r w:rsidRPr="00A60103">
              <w:rPr>
                <w:rFonts w:asciiTheme="minorHAnsi" w:hAnsiTheme="minorHAnsi" w:cs="Times New Roman"/>
                <w:sz w:val="20"/>
                <w:szCs w:val="20"/>
                <w:lang w:val="en-GB"/>
              </w:rPr>
              <w:t>Moving vehicle – Hit by a moving vehicle during working on scissors lift</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5.</w:t>
            </w:r>
          </w:p>
        </w:tc>
        <w:tc>
          <w:tcPr>
            <w:tcW w:w="4245" w:type="dxa"/>
            <w:vAlign w:val="center"/>
          </w:tcPr>
          <w:p w:rsidR="009B16CA" w:rsidRPr="00A60103" w:rsidRDefault="009B16CA" w:rsidP="00C01771">
            <w:pPr>
              <w:spacing w:after="0" w:line="240" w:lineRule="auto"/>
              <w:rPr>
                <w:rFonts w:asciiTheme="minorHAnsi" w:hAnsiTheme="minorHAnsi" w:cs="Times New Roman"/>
                <w:sz w:val="20"/>
                <w:szCs w:val="20"/>
                <w:lang w:val="en-GB"/>
              </w:rPr>
            </w:pPr>
            <w:r w:rsidRPr="00A60103">
              <w:rPr>
                <w:rFonts w:asciiTheme="minorHAnsi" w:hAnsiTheme="minorHAnsi" w:cs="Times New Roman"/>
                <w:sz w:val="20"/>
                <w:szCs w:val="20"/>
                <w:lang w:val="en-GB"/>
              </w:rPr>
              <w:t>Loose tools – falling object on road user</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1063" w:type="dxa"/>
            <w:shd w:val="clear" w:color="auto" w:fill="FFFF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Medium</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(12)</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6.</w:t>
            </w:r>
          </w:p>
        </w:tc>
        <w:tc>
          <w:tcPr>
            <w:tcW w:w="4245" w:type="dxa"/>
            <w:vAlign w:val="center"/>
          </w:tcPr>
          <w:p w:rsidR="009B16CA" w:rsidRPr="00A60103" w:rsidRDefault="009B16CA" w:rsidP="00C01771">
            <w:pPr>
              <w:spacing w:after="0" w:line="240" w:lineRule="auto"/>
              <w:ind w:right="7"/>
              <w:rPr>
                <w:rFonts w:asciiTheme="minorHAnsi" w:hAnsiTheme="minorHAnsi" w:cs="Times New Roman"/>
                <w:sz w:val="20"/>
                <w:szCs w:val="20"/>
                <w:lang w:val="en-GB"/>
              </w:rPr>
            </w:pPr>
            <w:r w:rsidRPr="00A60103">
              <w:rPr>
                <w:rFonts w:asciiTheme="minorHAnsi" w:hAnsiTheme="minorHAnsi" w:cs="Times New Roman"/>
                <w:sz w:val="20"/>
                <w:szCs w:val="20"/>
                <w:lang w:val="en-GB"/>
              </w:rPr>
              <w:t>Moving vehicle – Hit by moving vehicle while setting up Traffic Management Plan (TMP)</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7.</w:t>
            </w:r>
          </w:p>
        </w:tc>
        <w:tc>
          <w:tcPr>
            <w:tcW w:w="4245" w:type="dxa"/>
            <w:vAlign w:val="center"/>
          </w:tcPr>
          <w:p w:rsidR="009B16CA" w:rsidRPr="00A60103" w:rsidRDefault="009B16CA" w:rsidP="00C01771">
            <w:pPr>
              <w:spacing w:after="0" w:line="240" w:lineRule="auto"/>
              <w:rPr>
                <w:rFonts w:asciiTheme="minorHAnsi" w:hAnsiTheme="minorHAnsi" w:cs="Times New Roman"/>
                <w:sz w:val="20"/>
                <w:szCs w:val="20"/>
                <w:lang w:val="en-GB"/>
              </w:rPr>
            </w:pPr>
            <w:r w:rsidRPr="00A60103">
              <w:rPr>
                <w:rFonts w:asciiTheme="minorHAnsi" w:hAnsiTheme="minorHAnsi" w:cs="Times New Roman"/>
                <w:sz w:val="20"/>
                <w:szCs w:val="20"/>
                <w:lang w:val="en-GB"/>
              </w:rPr>
              <w:t>Integrity of Fire Fighting System - Alarm system in the tunnel also not synchronize with the control room</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5</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(15)</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8.</w:t>
            </w:r>
          </w:p>
        </w:tc>
        <w:tc>
          <w:tcPr>
            <w:tcW w:w="4245" w:type="dxa"/>
            <w:vAlign w:val="center"/>
          </w:tcPr>
          <w:p w:rsidR="009B16CA" w:rsidRPr="00A60103" w:rsidRDefault="009B16CA" w:rsidP="00C01771">
            <w:pPr>
              <w:spacing w:after="0" w:line="240" w:lineRule="auto"/>
              <w:ind w:right="577"/>
              <w:rPr>
                <w:rFonts w:asciiTheme="minorHAnsi" w:hAnsiTheme="minorHAnsi" w:cs="Times New Roman"/>
                <w:sz w:val="20"/>
                <w:szCs w:val="20"/>
                <w:lang w:val="en-GB"/>
              </w:rPr>
            </w:pPr>
            <w:r w:rsidRPr="00A60103">
              <w:rPr>
                <w:rFonts w:asciiTheme="minorHAnsi" w:hAnsiTheme="minorHAnsi" w:cs="Times New Roman"/>
                <w:sz w:val="20"/>
                <w:szCs w:val="20"/>
                <w:lang w:val="en-GB"/>
              </w:rPr>
              <w:t>Flash Over/ Arc Flash during switch over transformer</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5</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(15)</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9.</w:t>
            </w:r>
          </w:p>
        </w:tc>
        <w:tc>
          <w:tcPr>
            <w:tcW w:w="4245" w:type="dxa"/>
            <w:vAlign w:val="center"/>
          </w:tcPr>
          <w:p w:rsidR="009B16CA" w:rsidRPr="00A60103" w:rsidRDefault="009B16CA" w:rsidP="00C01771">
            <w:pPr>
              <w:spacing w:after="0" w:line="240" w:lineRule="auto"/>
              <w:rPr>
                <w:rFonts w:asciiTheme="minorHAnsi" w:hAnsiTheme="minorHAnsi" w:cs="Times New Roman"/>
                <w:sz w:val="20"/>
                <w:szCs w:val="20"/>
                <w:lang w:val="en-GB"/>
              </w:rPr>
            </w:pPr>
            <w:r w:rsidRPr="00A60103">
              <w:rPr>
                <w:rFonts w:asciiTheme="minorHAnsi" w:hAnsiTheme="minorHAnsi" w:cs="Times New Roman"/>
                <w:sz w:val="20"/>
                <w:szCs w:val="20"/>
                <w:lang w:val="en-GB"/>
              </w:rPr>
              <w:t>Unsafe Act due to the staff and contractor intended to cross the highway on live traffic – Hit moving vehicle while road crossing</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10.</w:t>
            </w:r>
          </w:p>
        </w:tc>
        <w:tc>
          <w:tcPr>
            <w:tcW w:w="4245" w:type="dxa"/>
            <w:vAlign w:val="center"/>
          </w:tcPr>
          <w:p w:rsidR="009B16CA" w:rsidRPr="00A60103" w:rsidRDefault="009B16CA" w:rsidP="00C01771">
            <w:pPr>
              <w:spacing w:after="0" w:line="240" w:lineRule="auto"/>
              <w:ind w:right="577"/>
              <w:rPr>
                <w:rFonts w:asciiTheme="minorHAnsi" w:hAnsiTheme="minorHAnsi" w:cs="Times New Roman"/>
                <w:sz w:val="20"/>
                <w:szCs w:val="20"/>
                <w:lang w:val="en-GB"/>
              </w:rPr>
            </w:pPr>
            <w:r w:rsidRPr="00A60103">
              <w:rPr>
                <w:rFonts w:asciiTheme="minorHAnsi" w:hAnsiTheme="minorHAnsi" w:cs="Times New Roman"/>
                <w:sz w:val="20"/>
                <w:szCs w:val="20"/>
                <w:lang w:val="en-GB"/>
              </w:rPr>
              <w:t>Diesel Filter compartment in USP Control Room caught on fire – No warning sign of fire hazard</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1063" w:type="dxa"/>
            <w:shd w:val="clear" w:color="auto" w:fill="FFFF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Medium</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(8)</w:t>
            </w:r>
          </w:p>
        </w:tc>
      </w:tr>
      <w:tr w:rsidR="009B16CA" w:rsidRPr="00A60103" w:rsidTr="00A60103">
        <w:tc>
          <w:tcPr>
            <w:tcW w:w="1494" w:type="dxa"/>
            <w:vMerge w:val="restart"/>
            <w:vAlign w:val="center"/>
          </w:tcPr>
          <w:p w:rsidR="009B16CA" w:rsidRPr="00A60103" w:rsidRDefault="009B16CA" w:rsidP="00C01771">
            <w:pPr>
              <w:spacing w:after="0" w:line="240" w:lineRule="auto"/>
              <w:ind w:right="-4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Health</w:t>
            </w:r>
          </w:p>
          <w:p w:rsidR="009B16CA" w:rsidRPr="00A60103" w:rsidRDefault="009B16CA" w:rsidP="00C01771">
            <w:pPr>
              <w:spacing w:after="0" w:line="240" w:lineRule="auto"/>
              <w:ind w:right="-4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(Chronic Impact)</w:t>
            </w: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w:t>
            </w:r>
          </w:p>
        </w:tc>
        <w:tc>
          <w:tcPr>
            <w:tcW w:w="4245" w:type="dxa"/>
            <w:vAlign w:val="center"/>
          </w:tcPr>
          <w:p w:rsidR="009B16CA" w:rsidRPr="00A60103" w:rsidRDefault="009B16CA" w:rsidP="00C01771">
            <w:pPr>
              <w:spacing w:after="0" w:line="240" w:lineRule="auto"/>
              <w:ind w:right="577"/>
              <w:rPr>
                <w:rFonts w:asciiTheme="minorHAnsi" w:hAnsiTheme="minorHAnsi" w:cs="Times New Roman"/>
                <w:sz w:val="20"/>
                <w:szCs w:val="20"/>
                <w:lang w:val="en-GB"/>
              </w:rPr>
            </w:pPr>
            <w:r w:rsidRPr="00A60103">
              <w:rPr>
                <w:rFonts w:asciiTheme="minorHAnsi" w:hAnsiTheme="minorHAnsi" w:cs="Times New Roman"/>
                <w:sz w:val="20"/>
                <w:szCs w:val="20"/>
                <w:lang w:val="en-GB"/>
              </w:rPr>
              <w:t>Confined Space</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(16)</w:t>
            </w:r>
          </w:p>
        </w:tc>
      </w:tr>
      <w:tr w:rsidR="009B16CA" w:rsidRPr="00A60103" w:rsidTr="00A60103">
        <w:tc>
          <w:tcPr>
            <w:tcW w:w="1494" w:type="dxa"/>
            <w:vMerge/>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w:t>
            </w:r>
          </w:p>
        </w:tc>
        <w:tc>
          <w:tcPr>
            <w:tcW w:w="4245" w:type="dxa"/>
            <w:vAlign w:val="center"/>
          </w:tcPr>
          <w:p w:rsidR="009B16CA" w:rsidRPr="00A60103" w:rsidRDefault="009B16CA" w:rsidP="00C01771">
            <w:pPr>
              <w:spacing w:after="0" w:line="240" w:lineRule="auto"/>
              <w:ind w:right="577"/>
              <w:rPr>
                <w:rFonts w:asciiTheme="minorHAnsi" w:hAnsiTheme="minorHAnsi" w:cs="Times New Roman"/>
                <w:sz w:val="20"/>
                <w:szCs w:val="20"/>
                <w:lang w:val="en-GB"/>
              </w:rPr>
            </w:pPr>
            <w:r w:rsidRPr="00A60103">
              <w:rPr>
                <w:rFonts w:asciiTheme="minorHAnsi" w:hAnsiTheme="minorHAnsi" w:cs="Times New Roman"/>
                <w:sz w:val="20"/>
                <w:szCs w:val="20"/>
                <w:lang w:val="en-GB"/>
              </w:rPr>
              <w:t>Unknown airborne dust</w:t>
            </w:r>
          </w:p>
        </w:tc>
        <w:tc>
          <w:tcPr>
            <w:tcW w:w="732" w:type="dxa"/>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5</w:t>
            </w:r>
          </w:p>
        </w:tc>
        <w:tc>
          <w:tcPr>
            <w:tcW w:w="1063" w:type="dxa"/>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(20)</w:t>
            </w:r>
          </w:p>
        </w:tc>
      </w:tr>
      <w:tr w:rsidR="009B16CA" w:rsidRPr="00A60103" w:rsidTr="00A60103">
        <w:tc>
          <w:tcPr>
            <w:tcW w:w="1494" w:type="dxa"/>
            <w:vMerge/>
            <w:tcBorders>
              <w:bottom w:val="single" w:sz="4" w:space="0" w:color="auto"/>
            </w:tcBorders>
          </w:tcPr>
          <w:p w:rsidR="009B16CA" w:rsidRPr="00A60103" w:rsidRDefault="009B16CA" w:rsidP="00C01771">
            <w:pPr>
              <w:spacing w:after="0" w:line="240" w:lineRule="auto"/>
              <w:ind w:right="577"/>
              <w:jc w:val="both"/>
              <w:rPr>
                <w:rFonts w:asciiTheme="minorHAnsi" w:hAnsiTheme="minorHAnsi" w:cs="Times New Roman"/>
                <w:sz w:val="20"/>
                <w:szCs w:val="20"/>
                <w:lang w:val="en-GB"/>
              </w:rPr>
            </w:pPr>
          </w:p>
        </w:tc>
        <w:tc>
          <w:tcPr>
            <w:tcW w:w="613" w:type="dxa"/>
            <w:tcBorders>
              <w:bottom w:val="single" w:sz="4" w:space="0" w:color="auto"/>
            </w:tcBorders>
            <w:vAlign w:val="center"/>
          </w:tcPr>
          <w:p w:rsidR="009B16CA" w:rsidRPr="00A60103" w:rsidRDefault="009B16CA" w:rsidP="00C01771">
            <w:pPr>
              <w:spacing w:after="0" w:line="240" w:lineRule="auto"/>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3.</w:t>
            </w:r>
          </w:p>
        </w:tc>
        <w:tc>
          <w:tcPr>
            <w:tcW w:w="4245" w:type="dxa"/>
            <w:tcBorders>
              <w:bottom w:val="single" w:sz="4" w:space="0" w:color="auto"/>
            </w:tcBorders>
            <w:vAlign w:val="center"/>
          </w:tcPr>
          <w:p w:rsidR="009B16CA" w:rsidRPr="00A60103" w:rsidRDefault="009B16CA" w:rsidP="00C01771">
            <w:pPr>
              <w:spacing w:after="0" w:line="240" w:lineRule="auto"/>
              <w:ind w:right="577"/>
              <w:rPr>
                <w:rFonts w:asciiTheme="minorHAnsi" w:hAnsiTheme="minorHAnsi" w:cs="Times New Roman"/>
                <w:sz w:val="20"/>
                <w:szCs w:val="20"/>
                <w:lang w:val="en-GB"/>
              </w:rPr>
            </w:pPr>
            <w:r w:rsidRPr="00A60103">
              <w:rPr>
                <w:rFonts w:asciiTheme="minorHAnsi" w:hAnsiTheme="minorHAnsi" w:cs="Times New Roman"/>
                <w:sz w:val="20"/>
                <w:szCs w:val="20"/>
                <w:lang w:val="en-GB"/>
              </w:rPr>
              <w:t>Inappropriate PPE due to unknown airborne dust</w:t>
            </w:r>
          </w:p>
        </w:tc>
        <w:tc>
          <w:tcPr>
            <w:tcW w:w="732" w:type="dxa"/>
            <w:tcBorders>
              <w:bottom w:val="single" w:sz="4" w:space="0" w:color="auto"/>
            </w:tcBorders>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732" w:type="dxa"/>
            <w:tcBorders>
              <w:bottom w:val="single" w:sz="4" w:space="0" w:color="auto"/>
            </w:tcBorders>
            <w:shd w:val="clear" w:color="auto" w:fill="auto"/>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4</w:t>
            </w:r>
          </w:p>
        </w:tc>
        <w:tc>
          <w:tcPr>
            <w:tcW w:w="1063" w:type="dxa"/>
            <w:tcBorders>
              <w:bottom w:val="single" w:sz="4" w:space="0" w:color="auto"/>
            </w:tcBorders>
            <w:shd w:val="clear" w:color="auto" w:fill="FF0000"/>
            <w:vAlign w:val="center"/>
          </w:tcPr>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High</w:t>
            </w:r>
          </w:p>
          <w:p w:rsidR="009B16CA" w:rsidRPr="00A60103" w:rsidRDefault="009B16CA" w:rsidP="00C01771">
            <w:pPr>
              <w:spacing w:after="0" w:line="240" w:lineRule="auto"/>
              <w:ind w:right="-76"/>
              <w:jc w:val="center"/>
              <w:rPr>
                <w:rFonts w:asciiTheme="minorHAnsi" w:hAnsiTheme="minorHAnsi" w:cs="Times New Roman"/>
                <w:sz w:val="20"/>
                <w:szCs w:val="20"/>
                <w:lang w:val="en-GB"/>
              </w:rPr>
            </w:pPr>
            <w:r w:rsidRPr="00A60103">
              <w:rPr>
                <w:rFonts w:asciiTheme="minorHAnsi" w:hAnsiTheme="minorHAnsi" w:cs="Times New Roman"/>
                <w:sz w:val="20"/>
                <w:szCs w:val="20"/>
                <w:lang w:val="en-GB"/>
              </w:rPr>
              <w:t>(16)</w:t>
            </w:r>
          </w:p>
        </w:tc>
      </w:tr>
    </w:tbl>
    <w:p w:rsidR="009B16CA" w:rsidRPr="00A60103" w:rsidRDefault="009B16CA" w:rsidP="009B16CA">
      <w:pPr>
        <w:spacing w:line="240" w:lineRule="auto"/>
        <w:jc w:val="both"/>
        <w:rPr>
          <w:rFonts w:asciiTheme="minorHAnsi" w:hAnsiTheme="minorHAnsi" w:cs="Times New Roman"/>
          <w:sz w:val="20"/>
          <w:lang w:val="en-GB"/>
        </w:rPr>
      </w:pPr>
      <w:r w:rsidRPr="00A60103">
        <w:rPr>
          <w:rFonts w:asciiTheme="minorHAnsi" w:hAnsiTheme="minorHAnsi" w:cs="Times New Roman"/>
          <w:sz w:val="20"/>
          <w:lang w:val="en-GB"/>
        </w:rPr>
        <w:t xml:space="preserve">   *</w:t>
      </w:r>
      <w:proofErr w:type="gramStart"/>
      <w:r w:rsidRPr="00A60103">
        <w:rPr>
          <w:rFonts w:asciiTheme="minorHAnsi" w:hAnsiTheme="minorHAnsi" w:cs="Times New Roman"/>
          <w:sz w:val="20"/>
          <w:lang w:val="en-GB"/>
        </w:rPr>
        <w:t>L :</w:t>
      </w:r>
      <w:proofErr w:type="gramEnd"/>
      <w:r w:rsidRPr="00A60103">
        <w:rPr>
          <w:rFonts w:asciiTheme="minorHAnsi" w:hAnsiTheme="minorHAnsi" w:cs="Times New Roman"/>
          <w:sz w:val="20"/>
          <w:lang w:val="en-GB"/>
        </w:rPr>
        <w:t xml:space="preserve"> Likelihood       * S : Severity</w:t>
      </w:r>
    </w:p>
    <w:p w:rsidR="009B16CA" w:rsidRPr="00A60103" w:rsidRDefault="009B16CA" w:rsidP="00A60103">
      <w:pPr>
        <w:spacing w:after="0" w:line="240" w:lineRule="auto"/>
        <w:jc w:val="both"/>
        <w:rPr>
          <w:rFonts w:asciiTheme="minorHAnsi" w:hAnsiTheme="minorHAnsi" w:cs="Times New Roman"/>
          <w:sz w:val="24"/>
          <w:szCs w:val="24"/>
          <w:lang w:val="en-GB"/>
        </w:rPr>
      </w:pPr>
    </w:p>
    <w:p w:rsidR="009B16CA" w:rsidRPr="00C15A97" w:rsidRDefault="009B16CA" w:rsidP="009B16CA">
      <w:pPr>
        <w:spacing w:before="240" w:after="240" w:line="240" w:lineRule="auto"/>
        <w:jc w:val="center"/>
        <w:rPr>
          <w:rFonts w:ascii="Times New Roman" w:hAnsi="Times New Roman" w:cs="Times New Roman"/>
          <w:sz w:val="24"/>
          <w:szCs w:val="24"/>
          <w:lang w:val="en-GB"/>
        </w:rPr>
      </w:pPr>
      <w:r w:rsidRPr="00C15A97">
        <w:rPr>
          <w:rFonts w:ascii="Times New Roman" w:hAnsi="Times New Roman" w:cs="Times New Roman"/>
          <w:noProof/>
          <w:sz w:val="24"/>
          <w:szCs w:val="24"/>
        </w:rPr>
        <w:lastRenderedPageBreak/>
        <w:drawing>
          <wp:inline distT="0" distB="0" distL="0" distR="0" wp14:anchorId="2F3F2F7F" wp14:editId="260DF5E0">
            <wp:extent cx="5339934" cy="3407434"/>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rotWithShape="1">
                    <a:blip r:embed="rId11">
                      <a:extLst>
                        <a:ext uri="{28A0092B-C50C-407E-A947-70E740481C1C}">
                          <a14:useLocalDpi xmlns:a14="http://schemas.microsoft.com/office/drawing/2010/main" val="0"/>
                        </a:ext>
                      </a:extLst>
                    </a:blip>
                    <a:srcRect t="7626"/>
                    <a:stretch/>
                  </pic:blipFill>
                  <pic:spPr bwMode="auto">
                    <a:xfrm>
                      <a:off x="0" y="0"/>
                      <a:ext cx="5367726" cy="3425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B16CA" w:rsidRPr="00A60103" w:rsidRDefault="00A60103" w:rsidP="008D324D">
      <w:pPr>
        <w:spacing w:before="240" w:after="360" w:line="240" w:lineRule="auto"/>
        <w:ind w:left="709" w:right="532"/>
        <w:jc w:val="both"/>
        <w:rPr>
          <w:rFonts w:asciiTheme="minorHAnsi" w:hAnsiTheme="minorHAnsi" w:cs="Times New Roman"/>
          <w:lang w:val="en-GB"/>
        </w:rPr>
      </w:pPr>
      <w:r w:rsidRPr="00A60103">
        <w:rPr>
          <w:rFonts w:asciiTheme="minorHAnsi" w:hAnsiTheme="minorHAnsi" w:cs="Times New Roman"/>
          <w:b/>
          <w:lang w:val="en-GB"/>
        </w:rPr>
        <w:t xml:space="preserve">Fig. </w:t>
      </w:r>
      <w:r w:rsidR="00F6691A">
        <w:rPr>
          <w:rFonts w:asciiTheme="minorHAnsi" w:hAnsiTheme="minorHAnsi" w:cs="Times New Roman"/>
          <w:b/>
          <w:lang w:val="en-GB"/>
        </w:rPr>
        <w:t>3</w:t>
      </w:r>
      <w:r w:rsidRPr="00A60103">
        <w:rPr>
          <w:rFonts w:asciiTheme="minorHAnsi" w:hAnsiTheme="minorHAnsi" w:cs="Times New Roman"/>
          <w:b/>
          <w:lang w:val="en-GB"/>
        </w:rPr>
        <w:t>.</w:t>
      </w:r>
      <w:r w:rsidR="009B16CA" w:rsidRPr="00A60103">
        <w:rPr>
          <w:rFonts w:asciiTheme="minorHAnsi" w:hAnsiTheme="minorHAnsi" w:cs="Times New Roman"/>
          <w:lang w:val="en-GB"/>
        </w:rPr>
        <w:t xml:space="preserve"> Bow-Tie Model develop based on critical risk of unknown airborne dust hazard and confined space</w:t>
      </w:r>
    </w:p>
    <w:p w:rsidR="00A60103" w:rsidRPr="00A60103" w:rsidRDefault="00A60103" w:rsidP="00A60103">
      <w:pPr>
        <w:pStyle w:val="ListParagraph"/>
        <w:numPr>
          <w:ilvl w:val="0"/>
          <w:numId w:val="4"/>
        </w:numPr>
        <w:spacing w:after="0" w:line="240" w:lineRule="auto"/>
        <w:ind w:left="270" w:hanging="270"/>
        <w:jc w:val="both"/>
        <w:rPr>
          <w:rFonts w:asciiTheme="minorHAnsi" w:hAnsiTheme="minorHAnsi" w:cs="Times New Roman"/>
          <w:b/>
          <w:bCs/>
          <w:sz w:val="24"/>
          <w:szCs w:val="24"/>
          <w:lang w:val="en-GB"/>
        </w:rPr>
      </w:pPr>
      <w:r w:rsidRPr="00A60103">
        <w:rPr>
          <w:rFonts w:asciiTheme="minorHAnsi" w:hAnsiTheme="minorHAnsi" w:cs="Times New Roman"/>
          <w:b/>
          <w:bCs/>
          <w:sz w:val="24"/>
          <w:szCs w:val="24"/>
          <w:lang w:val="en-GB"/>
        </w:rPr>
        <w:t xml:space="preserve">Conclusion </w:t>
      </w:r>
    </w:p>
    <w:p w:rsidR="00A60103" w:rsidRPr="00A60103" w:rsidRDefault="00A60103" w:rsidP="00A60103">
      <w:pPr>
        <w:pStyle w:val="ListParagraph"/>
        <w:spacing w:after="0" w:line="240" w:lineRule="auto"/>
        <w:ind w:left="270"/>
        <w:jc w:val="both"/>
        <w:rPr>
          <w:rFonts w:asciiTheme="minorHAnsi" w:hAnsiTheme="minorHAnsi" w:cs="Times New Roman"/>
          <w:sz w:val="24"/>
          <w:szCs w:val="24"/>
          <w:lang w:val="en-GB"/>
        </w:rPr>
      </w:pPr>
    </w:p>
    <w:p w:rsidR="009B16CA" w:rsidRPr="00A60103" w:rsidRDefault="009B16CA" w:rsidP="00A60103">
      <w:pPr>
        <w:spacing w:after="0" w:line="240" w:lineRule="auto"/>
        <w:ind w:firstLine="369"/>
        <w:jc w:val="both"/>
        <w:rPr>
          <w:rFonts w:asciiTheme="minorHAnsi" w:hAnsiTheme="minorHAnsi" w:cs="Times New Roman"/>
          <w:sz w:val="24"/>
          <w:szCs w:val="24"/>
          <w:lang w:val="en-GB"/>
        </w:rPr>
      </w:pPr>
      <w:r w:rsidRPr="00A60103">
        <w:rPr>
          <w:rFonts w:asciiTheme="minorHAnsi" w:hAnsiTheme="minorHAnsi" w:cs="Times New Roman"/>
          <w:sz w:val="24"/>
          <w:szCs w:val="24"/>
          <w:lang w:val="en-GB"/>
        </w:rPr>
        <w:t xml:space="preserve">This study focuses on the feedback given by the maintenance technicians in tunnel maintenance work of </w:t>
      </w:r>
      <w:proofErr w:type="spellStart"/>
      <w:r w:rsidRPr="00A60103">
        <w:rPr>
          <w:rFonts w:asciiTheme="minorHAnsi" w:hAnsiTheme="minorHAnsi" w:cs="Times New Roman"/>
          <w:sz w:val="24"/>
          <w:szCs w:val="24"/>
          <w:lang w:val="en-GB"/>
        </w:rPr>
        <w:t>Menora</w:t>
      </w:r>
      <w:proofErr w:type="spellEnd"/>
      <w:r w:rsidRPr="00A60103">
        <w:rPr>
          <w:rFonts w:asciiTheme="minorHAnsi" w:hAnsiTheme="minorHAnsi" w:cs="Times New Roman"/>
          <w:sz w:val="24"/>
          <w:szCs w:val="24"/>
          <w:lang w:val="en-GB"/>
        </w:rPr>
        <w:t xml:space="preserve"> Tunnel, Perak. It was found that all maintenance technicians were exposed to certain risks depending on the level of risk exposure itself. Based on the identified critical risks, safety barriers for proactive and reactive control have been determined to minimise and hopefully eliminate the threats and consequences of threats from </w:t>
      </w:r>
      <w:proofErr w:type="gramStart"/>
      <w:r w:rsidRPr="00A60103">
        <w:rPr>
          <w:rFonts w:asciiTheme="minorHAnsi" w:hAnsiTheme="minorHAnsi" w:cs="Times New Roman"/>
          <w:sz w:val="24"/>
          <w:szCs w:val="24"/>
          <w:lang w:val="en-GB"/>
        </w:rPr>
        <w:t>occurring..</w:t>
      </w:r>
      <w:proofErr w:type="gramEnd"/>
    </w:p>
    <w:p w:rsidR="001C7578" w:rsidRDefault="001C7578" w:rsidP="00595710">
      <w:pPr>
        <w:spacing w:after="0" w:line="240" w:lineRule="auto"/>
        <w:rPr>
          <w:rFonts w:asciiTheme="minorHAnsi" w:hAnsiTheme="minorHAnsi" w:cs="Times New Roman"/>
          <w:bCs/>
          <w:sz w:val="24"/>
          <w:szCs w:val="24"/>
        </w:rPr>
      </w:pPr>
    </w:p>
    <w:p w:rsidR="00686064" w:rsidRPr="00A7751E" w:rsidRDefault="00686064" w:rsidP="00C2396B">
      <w:pPr>
        <w:spacing w:after="0" w:line="240" w:lineRule="auto"/>
        <w:jc w:val="both"/>
        <w:rPr>
          <w:rFonts w:cs="Times New Roman"/>
          <w:b/>
          <w:bCs/>
          <w:color w:val="FF0000"/>
          <w:sz w:val="24"/>
          <w:szCs w:val="24"/>
        </w:rPr>
      </w:pPr>
      <w:r w:rsidRPr="00380EA7">
        <w:rPr>
          <w:rFonts w:cs="Times New Roman"/>
          <w:b/>
          <w:bCs/>
          <w:sz w:val="24"/>
          <w:szCs w:val="24"/>
        </w:rPr>
        <w:t>R</w:t>
      </w:r>
      <w:r w:rsidR="00C2396B" w:rsidRPr="00380EA7">
        <w:rPr>
          <w:rFonts w:cs="Times New Roman"/>
          <w:b/>
          <w:bCs/>
          <w:sz w:val="24"/>
          <w:szCs w:val="24"/>
        </w:rPr>
        <w:t>eferences</w:t>
      </w:r>
      <w:r w:rsidR="00F6691A">
        <w:rPr>
          <w:rFonts w:cs="Times New Roman"/>
          <w:b/>
          <w:bCs/>
          <w:sz w:val="24"/>
          <w:szCs w:val="24"/>
        </w:rPr>
        <w:t xml:space="preserve"> (minimum 15 </w:t>
      </w:r>
      <w:proofErr w:type="gramStart"/>
      <w:r w:rsidR="00F6691A">
        <w:rPr>
          <w:rFonts w:cs="Times New Roman"/>
          <w:b/>
          <w:bCs/>
          <w:sz w:val="24"/>
          <w:szCs w:val="24"/>
        </w:rPr>
        <w:t>reference</w:t>
      </w:r>
      <w:proofErr w:type="gramEnd"/>
      <w:r w:rsidR="00F6691A">
        <w:rPr>
          <w:rFonts w:cs="Times New Roman"/>
          <w:b/>
          <w:bCs/>
          <w:sz w:val="24"/>
          <w:szCs w:val="24"/>
        </w:rPr>
        <w:t>, Chicago style)</w:t>
      </w:r>
      <w:bookmarkStart w:id="0" w:name="_GoBack"/>
      <w:bookmarkEnd w:id="0"/>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bookmarkStart w:id="1" w:name="_ENREF_2"/>
      <w:r w:rsidRPr="002834F6">
        <w:rPr>
          <w:rFonts w:asciiTheme="minorHAnsi" w:hAnsiTheme="minorHAnsi" w:cs="Times New Roman"/>
          <w:sz w:val="20"/>
          <w:szCs w:val="20"/>
          <w:lang w:val="en-GB"/>
        </w:rPr>
        <w:t>[1]</w:t>
      </w:r>
      <w:r w:rsidRPr="002834F6">
        <w:rPr>
          <w:rFonts w:asciiTheme="minorHAnsi" w:hAnsiTheme="minorHAnsi" w:cs="Times New Roman"/>
          <w:sz w:val="20"/>
          <w:szCs w:val="20"/>
          <w:lang w:val="en-GB"/>
        </w:rPr>
        <w:tab/>
        <w:t xml:space="preserve">Ingason, H., </w:t>
      </w:r>
      <w:r w:rsidRPr="002834F6">
        <w:rPr>
          <w:rFonts w:asciiTheme="minorHAnsi" w:hAnsiTheme="minorHAnsi" w:cs="Times New Roman"/>
          <w:i/>
          <w:sz w:val="20"/>
          <w:szCs w:val="20"/>
          <w:lang w:val="en-GB"/>
        </w:rPr>
        <w:t>Fire Safety in Tunnels.</w:t>
      </w:r>
      <w:r w:rsidRPr="002834F6">
        <w:rPr>
          <w:rFonts w:asciiTheme="minorHAnsi" w:hAnsiTheme="minorHAnsi" w:cs="Times New Roman"/>
          <w:sz w:val="20"/>
          <w:szCs w:val="20"/>
          <w:lang w:val="en-GB"/>
        </w:rPr>
        <w:t xml:space="preserve"> Fire Technology, 2013. </w:t>
      </w:r>
      <w:r w:rsidRPr="002834F6">
        <w:rPr>
          <w:rFonts w:asciiTheme="minorHAnsi" w:hAnsiTheme="minorHAnsi" w:cs="Times New Roman"/>
          <w:b/>
          <w:sz w:val="20"/>
          <w:szCs w:val="20"/>
          <w:lang w:val="en-GB"/>
        </w:rPr>
        <w:t>49</w:t>
      </w:r>
      <w:r w:rsidRPr="002834F6">
        <w:rPr>
          <w:rFonts w:asciiTheme="minorHAnsi" w:hAnsiTheme="minorHAnsi" w:cs="Times New Roman"/>
          <w:sz w:val="20"/>
          <w:szCs w:val="20"/>
          <w:lang w:val="en-GB"/>
        </w:rPr>
        <w:t>(2): p. 433-434.</w:t>
      </w:r>
      <w:bookmarkEnd w:id="1"/>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bookmarkStart w:id="2" w:name="_ENREF_3"/>
      <w:r w:rsidRPr="002834F6">
        <w:rPr>
          <w:rFonts w:asciiTheme="minorHAnsi" w:hAnsiTheme="minorHAnsi" w:cs="Times New Roman"/>
          <w:sz w:val="20"/>
          <w:szCs w:val="20"/>
          <w:lang w:val="en-GB"/>
        </w:rPr>
        <w:t>[2]</w:t>
      </w:r>
      <w:r w:rsidRPr="002834F6">
        <w:rPr>
          <w:rFonts w:asciiTheme="minorHAnsi" w:hAnsiTheme="minorHAnsi" w:cs="Times New Roman"/>
          <w:sz w:val="20"/>
          <w:szCs w:val="20"/>
          <w:lang w:val="en-GB"/>
        </w:rPr>
        <w:tab/>
      </w:r>
      <w:bookmarkEnd w:id="2"/>
      <w:r w:rsidR="002834F6" w:rsidRPr="002834F6">
        <w:rPr>
          <w:rFonts w:asciiTheme="minorHAnsi" w:hAnsiTheme="minorHAnsi"/>
          <w:color w:val="222222"/>
          <w:sz w:val="20"/>
          <w:szCs w:val="20"/>
          <w:shd w:val="clear" w:color="auto" w:fill="FFFFFF"/>
        </w:rPr>
        <w:t>Kazaras, Konstantinos, Konstantinos Kirytopoulos, and Athanasios Rentizelas. "Introducing the STAMP method in road tunnel safety assessment." </w:t>
      </w:r>
      <w:r w:rsidR="002834F6" w:rsidRPr="002834F6">
        <w:rPr>
          <w:rFonts w:asciiTheme="minorHAnsi" w:hAnsiTheme="minorHAnsi"/>
          <w:i/>
          <w:iCs/>
          <w:color w:val="222222"/>
          <w:sz w:val="20"/>
          <w:szCs w:val="20"/>
          <w:shd w:val="clear" w:color="auto" w:fill="FFFFFF"/>
        </w:rPr>
        <w:t>Safety Science</w:t>
      </w:r>
      <w:r w:rsidR="002834F6" w:rsidRPr="002834F6">
        <w:rPr>
          <w:rFonts w:asciiTheme="minorHAnsi" w:hAnsiTheme="minorHAnsi"/>
          <w:color w:val="222222"/>
          <w:sz w:val="20"/>
          <w:szCs w:val="20"/>
          <w:shd w:val="clear" w:color="auto" w:fill="FFFFFF"/>
        </w:rPr>
        <w:t> 50, no. 9 (2012): 1806-1817.</w:t>
      </w:r>
    </w:p>
    <w:p w:rsidR="002834F6"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w:t>
      </w:r>
      <w:r w:rsidRPr="002834F6">
        <w:rPr>
          <w:rFonts w:asciiTheme="minorHAnsi" w:hAnsiTheme="minorHAnsi" w:cs="Times New Roman"/>
          <w:sz w:val="20"/>
          <w:szCs w:val="20"/>
          <w:lang w:val="en-GB"/>
        </w:rPr>
        <w:fldChar w:fldCharType="begin"/>
      </w:r>
      <w:r w:rsidRPr="002834F6">
        <w:rPr>
          <w:rFonts w:asciiTheme="minorHAnsi" w:hAnsiTheme="minorHAnsi" w:cs="Times New Roman"/>
          <w:sz w:val="20"/>
          <w:szCs w:val="20"/>
          <w:lang w:val="en-GB"/>
        </w:rPr>
        <w:instrText xml:space="preserve"> ADDIN EN.REFLIST </w:instrText>
      </w:r>
      <w:r w:rsidRPr="002834F6">
        <w:rPr>
          <w:rFonts w:asciiTheme="minorHAnsi" w:hAnsiTheme="minorHAnsi" w:cs="Times New Roman"/>
          <w:sz w:val="20"/>
          <w:szCs w:val="20"/>
          <w:lang w:val="en-GB"/>
        </w:rPr>
        <w:fldChar w:fldCharType="separate"/>
      </w:r>
      <w:bookmarkStart w:id="3" w:name="_ENREF_1"/>
      <w:r w:rsidRPr="002834F6">
        <w:rPr>
          <w:rFonts w:asciiTheme="minorHAnsi" w:hAnsiTheme="minorHAnsi" w:cs="Times New Roman"/>
          <w:sz w:val="20"/>
          <w:szCs w:val="20"/>
          <w:lang w:val="en-GB"/>
        </w:rPr>
        <w:t>3]</w:t>
      </w:r>
      <w:r w:rsidRPr="002834F6">
        <w:rPr>
          <w:rFonts w:asciiTheme="minorHAnsi" w:hAnsiTheme="minorHAnsi" w:cs="Times New Roman"/>
          <w:sz w:val="20"/>
          <w:szCs w:val="20"/>
          <w:lang w:val="en-GB"/>
        </w:rPr>
        <w:tab/>
      </w:r>
      <w:bookmarkStart w:id="4" w:name="_ENREF_4"/>
      <w:bookmarkEnd w:id="3"/>
      <w:r w:rsidR="002834F6" w:rsidRPr="002834F6">
        <w:rPr>
          <w:rFonts w:asciiTheme="minorHAnsi" w:hAnsiTheme="minorHAnsi"/>
          <w:color w:val="222222"/>
          <w:sz w:val="20"/>
          <w:szCs w:val="20"/>
          <w:shd w:val="clear" w:color="auto" w:fill="FFFFFF"/>
        </w:rPr>
        <w:t>Schlosser, František, Martin Rázga, and Peter Danišovič. "Risk Analysis in Road Tunnels." </w:t>
      </w:r>
      <w:r w:rsidR="002834F6" w:rsidRPr="002834F6">
        <w:rPr>
          <w:rFonts w:asciiTheme="minorHAnsi" w:hAnsiTheme="minorHAnsi"/>
          <w:i/>
          <w:iCs/>
          <w:color w:val="222222"/>
          <w:sz w:val="20"/>
          <w:szCs w:val="20"/>
          <w:shd w:val="clear" w:color="auto" w:fill="FFFFFF"/>
        </w:rPr>
        <w:t>Procedia Engineering</w:t>
      </w:r>
      <w:r w:rsidR="002834F6" w:rsidRPr="002834F6">
        <w:rPr>
          <w:rFonts w:asciiTheme="minorHAnsi" w:hAnsiTheme="minorHAnsi"/>
          <w:color w:val="222222"/>
          <w:sz w:val="20"/>
          <w:szCs w:val="20"/>
          <w:shd w:val="clear" w:color="auto" w:fill="FFFFFF"/>
        </w:rPr>
        <w:t> 91 (2014): 469-474.</w:t>
      </w:r>
      <w:r w:rsidR="002834F6" w:rsidRPr="002834F6">
        <w:rPr>
          <w:rFonts w:asciiTheme="minorHAnsi" w:hAnsiTheme="minorHAnsi" w:cs="Times New Roman"/>
          <w:sz w:val="20"/>
          <w:szCs w:val="20"/>
          <w:lang w:val="en-GB"/>
        </w:rPr>
        <w:t xml:space="preserve"> </w:t>
      </w:r>
    </w:p>
    <w:p w:rsidR="002834F6" w:rsidRPr="002834F6" w:rsidRDefault="009B16CA" w:rsidP="002834F6">
      <w:pPr>
        <w:pStyle w:val="EndNoteBibliography"/>
        <w:spacing w:after="0"/>
        <w:ind w:left="539" w:hanging="539"/>
        <w:jc w:val="both"/>
        <w:rPr>
          <w:rFonts w:asciiTheme="minorHAnsi" w:hAnsiTheme="minorHAnsi"/>
          <w:color w:val="222222"/>
          <w:sz w:val="20"/>
          <w:szCs w:val="20"/>
          <w:shd w:val="clear" w:color="auto" w:fill="FFFFFF"/>
        </w:rPr>
      </w:pPr>
      <w:r w:rsidRPr="002834F6">
        <w:rPr>
          <w:rFonts w:asciiTheme="minorHAnsi" w:hAnsiTheme="minorHAnsi" w:cs="Times New Roman"/>
          <w:sz w:val="20"/>
          <w:szCs w:val="20"/>
          <w:lang w:val="en-GB"/>
        </w:rPr>
        <w:t>[4]</w:t>
      </w:r>
      <w:r w:rsidRPr="002834F6">
        <w:rPr>
          <w:rFonts w:asciiTheme="minorHAnsi" w:hAnsiTheme="minorHAnsi" w:cs="Times New Roman"/>
          <w:sz w:val="20"/>
          <w:szCs w:val="20"/>
          <w:lang w:val="en-GB"/>
        </w:rPr>
        <w:tab/>
      </w:r>
      <w:bookmarkStart w:id="5" w:name="_ENREF_5"/>
      <w:bookmarkEnd w:id="4"/>
      <w:r w:rsidR="002834F6" w:rsidRPr="002834F6">
        <w:rPr>
          <w:rFonts w:asciiTheme="minorHAnsi" w:hAnsiTheme="minorHAnsi"/>
          <w:color w:val="222222"/>
          <w:sz w:val="20"/>
          <w:szCs w:val="20"/>
          <w:shd w:val="clear" w:color="auto" w:fill="FFFFFF"/>
        </w:rPr>
        <w:t>Ingason, Haukur. "New challenges in tunnel fire safety." (2016): 1445-1447.</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[5]</w:t>
      </w:r>
      <w:r w:rsidRPr="002834F6">
        <w:rPr>
          <w:rFonts w:asciiTheme="minorHAnsi" w:hAnsiTheme="minorHAnsi" w:cs="Times New Roman"/>
          <w:sz w:val="20"/>
          <w:szCs w:val="20"/>
          <w:lang w:val="en-GB"/>
        </w:rPr>
        <w:tab/>
      </w:r>
      <w:bookmarkEnd w:id="5"/>
      <w:r w:rsidR="002834F6" w:rsidRPr="002834F6">
        <w:rPr>
          <w:rFonts w:asciiTheme="minorHAnsi" w:hAnsiTheme="minorHAnsi"/>
          <w:color w:val="222222"/>
          <w:sz w:val="20"/>
          <w:szCs w:val="20"/>
          <w:shd w:val="clear" w:color="auto" w:fill="FFFFFF"/>
        </w:rPr>
        <w:t>Van Weyenberge, Bart, Xavier Deckers, Robby Caspeele, and Bart Merci. "Development of a risk assessment method for life safety in case of fire in rail tunnels." </w:t>
      </w:r>
      <w:r w:rsidR="002834F6" w:rsidRPr="002834F6">
        <w:rPr>
          <w:rFonts w:asciiTheme="minorHAnsi" w:hAnsiTheme="minorHAnsi"/>
          <w:i/>
          <w:iCs/>
          <w:color w:val="222222"/>
          <w:sz w:val="20"/>
          <w:szCs w:val="20"/>
          <w:shd w:val="clear" w:color="auto" w:fill="FFFFFF"/>
        </w:rPr>
        <w:t>Fire technology</w:t>
      </w:r>
      <w:r w:rsidR="002834F6" w:rsidRPr="002834F6">
        <w:rPr>
          <w:rFonts w:asciiTheme="minorHAnsi" w:hAnsiTheme="minorHAnsi"/>
          <w:color w:val="222222"/>
          <w:sz w:val="20"/>
          <w:szCs w:val="20"/>
          <w:shd w:val="clear" w:color="auto" w:fill="FFFFFF"/>
        </w:rPr>
        <w:t> 52, no. 5 (2016): 1465-1479.</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bookmarkStart w:id="6" w:name="_ENREF_6"/>
      <w:r w:rsidRPr="002834F6">
        <w:rPr>
          <w:rFonts w:asciiTheme="minorHAnsi" w:hAnsiTheme="minorHAnsi" w:cs="Times New Roman"/>
          <w:sz w:val="20"/>
          <w:szCs w:val="20"/>
          <w:lang w:val="en-GB"/>
        </w:rPr>
        <w:t>[6]</w:t>
      </w:r>
      <w:r w:rsidRPr="002834F6">
        <w:rPr>
          <w:rFonts w:asciiTheme="minorHAnsi" w:hAnsiTheme="minorHAnsi" w:cs="Times New Roman"/>
          <w:sz w:val="20"/>
          <w:szCs w:val="20"/>
          <w:lang w:val="en-GB"/>
        </w:rPr>
        <w:tab/>
      </w:r>
      <w:bookmarkEnd w:id="6"/>
      <w:r w:rsidR="002834F6" w:rsidRPr="002834F6">
        <w:rPr>
          <w:rFonts w:asciiTheme="minorHAnsi" w:hAnsiTheme="minorHAnsi"/>
          <w:color w:val="222222"/>
          <w:sz w:val="20"/>
          <w:szCs w:val="20"/>
          <w:shd w:val="clear" w:color="auto" w:fill="FFFFFF"/>
        </w:rPr>
        <w:t>de Ruijter, Alex, and Frank Guldenmund. "The bowtie method: A review." </w:t>
      </w:r>
      <w:r w:rsidR="002834F6" w:rsidRPr="002834F6">
        <w:rPr>
          <w:rFonts w:asciiTheme="minorHAnsi" w:hAnsiTheme="minorHAnsi"/>
          <w:i/>
          <w:iCs/>
          <w:color w:val="222222"/>
          <w:sz w:val="20"/>
          <w:szCs w:val="20"/>
          <w:shd w:val="clear" w:color="auto" w:fill="FFFFFF"/>
        </w:rPr>
        <w:t>Safety science</w:t>
      </w:r>
      <w:r w:rsidR="002834F6" w:rsidRPr="002834F6">
        <w:rPr>
          <w:rFonts w:asciiTheme="minorHAnsi" w:hAnsiTheme="minorHAnsi"/>
          <w:color w:val="222222"/>
          <w:sz w:val="20"/>
          <w:szCs w:val="20"/>
          <w:shd w:val="clear" w:color="auto" w:fill="FFFFFF"/>
        </w:rPr>
        <w:t> 88 (2016): 211-218.</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bookmarkStart w:id="7" w:name="_ENREF_7"/>
      <w:r w:rsidRPr="002834F6">
        <w:rPr>
          <w:rFonts w:asciiTheme="minorHAnsi" w:hAnsiTheme="minorHAnsi" w:cs="Times New Roman"/>
          <w:sz w:val="20"/>
          <w:szCs w:val="20"/>
          <w:lang w:val="en-GB"/>
        </w:rPr>
        <w:t>[7]</w:t>
      </w:r>
      <w:r w:rsidRPr="002834F6">
        <w:rPr>
          <w:rFonts w:asciiTheme="minorHAnsi" w:hAnsiTheme="minorHAnsi" w:cs="Times New Roman"/>
          <w:sz w:val="20"/>
          <w:szCs w:val="20"/>
          <w:lang w:val="en-GB"/>
        </w:rPr>
        <w:tab/>
      </w:r>
      <w:bookmarkEnd w:id="7"/>
      <w:r w:rsidR="002834F6" w:rsidRPr="002834F6">
        <w:rPr>
          <w:rFonts w:asciiTheme="minorHAnsi" w:hAnsiTheme="minorHAnsi"/>
          <w:color w:val="222222"/>
          <w:sz w:val="20"/>
          <w:szCs w:val="20"/>
          <w:shd w:val="clear" w:color="auto" w:fill="FFFFFF"/>
        </w:rPr>
        <w:t>Jacinto, Celeste, and Cristina Silva. "A semi-quantitative assessment of occupational risks using bow-tie representation." </w:t>
      </w:r>
      <w:r w:rsidR="002834F6" w:rsidRPr="002834F6">
        <w:rPr>
          <w:rFonts w:asciiTheme="minorHAnsi" w:hAnsiTheme="minorHAnsi"/>
          <w:i/>
          <w:iCs/>
          <w:color w:val="222222"/>
          <w:sz w:val="20"/>
          <w:szCs w:val="20"/>
          <w:shd w:val="clear" w:color="auto" w:fill="FFFFFF"/>
        </w:rPr>
        <w:t>Safety Science</w:t>
      </w:r>
      <w:r w:rsidR="002834F6" w:rsidRPr="002834F6">
        <w:rPr>
          <w:rFonts w:asciiTheme="minorHAnsi" w:hAnsiTheme="minorHAnsi"/>
          <w:color w:val="222222"/>
          <w:sz w:val="20"/>
          <w:szCs w:val="20"/>
          <w:shd w:val="clear" w:color="auto" w:fill="FFFFFF"/>
        </w:rPr>
        <w:t> 48, no. 8 (2010): 973-979.</w:t>
      </w:r>
    </w:p>
    <w:p w:rsidR="002834F6" w:rsidRPr="002834F6" w:rsidRDefault="009B16CA" w:rsidP="002834F6">
      <w:pPr>
        <w:pStyle w:val="EndNoteBibliography"/>
        <w:spacing w:after="0"/>
        <w:ind w:left="539" w:hanging="539"/>
        <w:jc w:val="both"/>
        <w:rPr>
          <w:rFonts w:asciiTheme="minorHAnsi" w:hAnsiTheme="minorHAnsi" w:cs="Times New Roman"/>
          <w:sz w:val="20"/>
          <w:szCs w:val="20"/>
          <w:lang w:val="en-GB"/>
        </w:rPr>
      </w:pPr>
      <w:bookmarkStart w:id="8" w:name="_ENREF_8"/>
      <w:r w:rsidRPr="002834F6">
        <w:rPr>
          <w:rFonts w:asciiTheme="minorHAnsi" w:hAnsiTheme="minorHAnsi" w:cs="Times New Roman"/>
          <w:sz w:val="20"/>
          <w:szCs w:val="20"/>
          <w:lang w:val="en-GB"/>
        </w:rPr>
        <w:t>[8]</w:t>
      </w:r>
      <w:r w:rsidRPr="002834F6">
        <w:rPr>
          <w:rFonts w:asciiTheme="minorHAnsi" w:hAnsiTheme="minorHAnsi" w:cs="Times New Roman"/>
          <w:sz w:val="20"/>
          <w:szCs w:val="20"/>
          <w:lang w:val="en-GB"/>
        </w:rPr>
        <w:tab/>
      </w:r>
      <w:bookmarkStart w:id="9" w:name="_ENREF_13"/>
      <w:bookmarkEnd w:id="8"/>
      <w:r w:rsidR="002834F6" w:rsidRPr="002834F6">
        <w:rPr>
          <w:rFonts w:asciiTheme="minorHAnsi" w:hAnsiTheme="minorHAnsi"/>
          <w:color w:val="222222"/>
          <w:sz w:val="20"/>
          <w:szCs w:val="20"/>
          <w:shd w:val="clear" w:color="auto" w:fill="FFFFFF"/>
        </w:rPr>
        <w:t>Duijm, Nijs Jan. "Recommendations on the use and design of risk matrices." </w:t>
      </w:r>
      <w:r w:rsidR="002834F6" w:rsidRPr="002834F6">
        <w:rPr>
          <w:rFonts w:asciiTheme="minorHAnsi" w:hAnsiTheme="minorHAnsi"/>
          <w:i/>
          <w:iCs/>
          <w:color w:val="222222"/>
          <w:sz w:val="20"/>
          <w:szCs w:val="20"/>
          <w:shd w:val="clear" w:color="auto" w:fill="FFFFFF"/>
        </w:rPr>
        <w:t>Safety Science</w:t>
      </w:r>
      <w:r w:rsidR="002834F6" w:rsidRPr="002834F6">
        <w:rPr>
          <w:rFonts w:asciiTheme="minorHAnsi" w:hAnsiTheme="minorHAnsi"/>
          <w:color w:val="222222"/>
          <w:sz w:val="20"/>
          <w:szCs w:val="20"/>
          <w:shd w:val="clear" w:color="auto" w:fill="FFFFFF"/>
        </w:rPr>
        <w:t> 76 (2015): 21-31.</w:t>
      </w:r>
      <w:r w:rsidR="002834F6" w:rsidRPr="002834F6">
        <w:rPr>
          <w:rFonts w:asciiTheme="minorHAnsi" w:hAnsiTheme="minorHAnsi" w:cs="Times New Roman"/>
          <w:sz w:val="20"/>
          <w:szCs w:val="20"/>
          <w:lang w:val="en-GB"/>
        </w:rPr>
        <w:t xml:space="preserve"> </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[9]</w:t>
      </w:r>
      <w:r w:rsidRPr="002834F6">
        <w:rPr>
          <w:rFonts w:asciiTheme="minorHAnsi" w:hAnsiTheme="minorHAnsi" w:cs="Times New Roman"/>
          <w:sz w:val="20"/>
          <w:szCs w:val="20"/>
          <w:lang w:val="en-GB"/>
        </w:rPr>
        <w:tab/>
      </w:r>
      <w:bookmarkEnd w:id="9"/>
      <w:r w:rsidR="002834F6" w:rsidRPr="002834F6">
        <w:rPr>
          <w:rFonts w:asciiTheme="minorHAnsi" w:hAnsiTheme="minorHAnsi"/>
          <w:color w:val="222222"/>
          <w:sz w:val="20"/>
          <w:szCs w:val="20"/>
          <w:shd w:val="clear" w:color="auto" w:fill="FFFFFF"/>
        </w:rPr>
        <w:t>McNamara, Carter. "General guidelines for conducting interviews, Minnesota." </w:t>
      </w:r>
      <w:r w:rsidR="002834F6" w:rsidRPr="002834F6">
        <w:rPr>
          <w:rFonts w:asciiTheme="minorHAnsi" w:hAnsiTheme="minorHAnsi"/>
          <w:i/>
          <w:iCs/>
          <w:color w:val="222222"/>
          <w:sz w:val="20"/>
          <w:szCs w:val="20"/>
          <w:shd w:val="clear" w:color="auto" w:fill="FFFFFF"/>
        </w:rPr>
        <w:t>Missouri Institute of science</w:t>
      </w:r>
      <w:r w:rsidR="002834F6" w:rsidRPr="002834F6">
        <w:rPr>
          <w:rFonts w:asciiTheme="minorHAnsi" w:hAnsiTheme="minorHAnsi"/>
          <w:color w:val="222222"/>
          <w:sz w:val="20"/>
          <w:szCs w:val="20"/>
          <w:shd w:val="clear" w:color="auto" w:fill="FFFFFF"/>
        </w:rPr>
        <w:t> (1999).</w:t>
      </w:r>
    </w:p>
    <w:p w:rsidR="002834F6"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[10]</w:t>
      </w:r>
      <w:r w:rsidRPr="002834F6">
        <w:rPr>
          <w:rFonts w:asciiTheme="minorHAnsi" w:hAnsiTheme="minorHAnsi" w:cs="Times New Roman"/>
          <w:sz w:val="20"/>
          <w:szCs w:val="20"/>
          <w:lang w:val="en-GB"/>
        </w:rPr>
        <w:tab/>
      </w:r>
      <w:bookmarkStart w:id="10" w:name="_ENREF_9"/>
      <w:r w:rsidR="002834F6" w:rsidRPr="002834F6">
        <w:rPr>
          <w:rFonts w:asciiTheme="minorHAnsi" w:hAnsiTheme="minorHAnsi"/>
          <w:color w:val="222222"/>
          <w:sz w:val="20"/>
          <w:szCs w:val="20"/>
          <w:shd w:val="clear" w:color="auto" w:fill="FFFFFF"/>
        </w:rPr>
        <w:t>Boyce, Carolyn, and Palena Neale. "Conducting in-depth interviews: A guide for designing and conducting in-depth interviews for evaluation input." (2006).</w:t>
      </w:r>
      <w:r w:rsidR="002834F6" w:rsidRPr="002834F6">
        <w:rPr>
          <w:rFonts w:asciiTheme="minorHAnsi" w:hAnsiTheme="minorHAnsi" w:cs="Times New Roman"/>
          <w:sz w:val="20"/>
          <w:szCs w:val="20"/>
          <w:lang w:val="en-GB"/>
        </w:rPr>
        <w:t xml:space="preserve"> </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[11]</w:t>
      </w:r>
      <w:r w:rsidRPr="002834F6">
        <w:rPr>
          <w:rFonts w:asciiTheme="minorHAnsi" w:hAnsiTheme="minorHAnsi" w:cs="Times New Roman"/>
          <w:sz w:val="20"/>
          <w:szCs w:val="20"/>
          <w:lang w:val="en-GB"/>
        </w:rPr>
        <w:tab/>
        <w:t>Occupational Safety and Health Act 1994, Laws of Malaysia, 1994. Retrieved from http://www.dosh.gov.my/index.php/en/list-of-documents/acts/23-02-occupational-safety-and-health-act-1994-act-514/file</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lastRenderedPageBreak/>
        <w:t>[12]</w:t>
      </w:r>
      <w:r w:rsidRPr="002834F6">
        <w:rPr>
          <w:rFonts w:asciiTheme="minorHAnsi" w:hAnsiTheme="minorHAnsi" w:cs="Times New Roman"/>
          <w:sz w:val="20"/>
          <w:szCs w:val="20"/>
          <w:lang w:val="en-GB"/>
        </w:rPr>
        <w:tab/>
        <w:t>Road Transport Act 1987, Laws of Malaysia, 2013. Retrieved from http://www.agc.gov.my/agcportal/uploads/files/Publications/LOM/EN/Act%20333%20-%20Road%20Transport%20Act%201987.pdf</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[13]</w:t>
      </w:r>
      <w:r w:rsidRPr="002834F6">
        <w:rPr>
          <w:rFonts w:asciiTheme="minorHAnsi" w:hAnsiTheme="minorHAnsi" w:cs="Times New Roman"/>
          <w:sz w:val="20"/>
          <w:szCs w:val="20"/>
          <w:lang w:val="en-GB"/>
        </w:rPr>
        <w:tab/>
        <w:t>Occupational Health and Safety Management System (OHSMS), Department of Standards Malaysia, BS OHSAS 18001: 2007, 2007.  Retrieved from http://www.jsm.gov.my/ms-1722</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[14]</w:t>
      </w:r>
      <w:r w:rsidRPr="002834F6">
        <w:rPr>
          <w:rFonts w:asciiTheme="minorHAnsi" w:hAnsiTheme="minorHAnsi" w:cs="Times New Roman"/>
          <w:sz w:val="20"/>
          <w:szCs w:val="20"/>
          <w:lang w:val="en-GB"/>
        </w:rPr>
        <w:tab/>
        <w:t xml:space="preserve">Guidelines for Hazard Identification, Risk Assessment and Risk Control (HIRARC), Department of Occupational Safety and Health, 2008. Retrieved from http://www.dosh.gov.my/index.php/en/legislation/guidelines/hirarc-2/1846-01-guidelines-for-hazard-identification-risk-assessment-and-risk-control-hirarc-2008/file. </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 xml:space="preserve">[15] </w:t>
      </w:r>
      <w:r w:rsidRPr="002834F6">
        <w:rPr>
          <w:rFonts w:asciiTheme="minorHAnsi" w:hAnsiTheme="minorHAnsi" w:cs="Times New Roman"/>
          <w:sz w:val="20"/>
          <w:szCs w:val="20"/>
          <w:lang w:val="en-GB"/>
        </w:rPr>
        <w:tab/>
        <w:t>Occupational Safety and Health (Use and Standards of Exposure of Chemicals Hazardous to Health) Regulations (2000), Federal Subsidary Legislation, 2000. Retrieved from http://www.dosh.gov.my/index.php/en/legislation/regulations-1/osha-1994-act-154/522-pua-131-2000-1/file</w:t>
      </w:r>
    </w:p>
    <w:p w:rsidR="009B16CA" w:rsidRPr="002834F6" w:rsidRDefault="009B16CA" w:rsidP="002834F6">
      <w:pPr>
        <w:pStyle w:val="EndNoteBibliography"/>
        <w:spacing w:after="0"/>
        <w:ind w:left="539" w:hanging="539"/>
        <w:jc w:val="both"/>
        <w:rPr>
          <w:rFonts w:asciiTheme="minorHAnsi" w:hAnsiTheme="minorHAnsi" w:cs="Times New Roman"/>
          <w:sz w:val="20"/>
          <w:szCs w:val="20"/>
          <w:lang w:val="en-GB"/>
        </w:rPr>
      </w:pPr>
      <w:r w:rsidRPr="002834F6">
        <w:rPr>
          <w:rFonts w:asciiTheme="minorHAnsi" w:hAnsiTheme="minorHAnsi" w:cs="Times New Roman"/>
          <w:sz w:val="20"/>
          <w:szCs w:val="20"/>
          <w:lang w:val="en-GB"/>
        </w:rPr>
        <w:t xml:space="preserve">[16] </w:t>
      </w:r>
      <w:r w:rsidRPr="002834F6">
        <w:rPr>
          <w:rFonts w:asciiTheme="minorHAnsi" w:hAnsiTheme="minorHAnsi" w:cs="Times New Roman"/>
          <w:sz w:val="20"/>
          <w:szCs w:val="20"/>
          <w:lang w:val="en-GB"/>
        </w:rPr>
        <w:tab/>
        <w:t>Industry Code of Practice for Safe Working in a Confined Space (2010), Department of Occupational Safety and Health, 2010. Retrieved from http://www.dosh.gov.my/index.php/en/competent-person-form/occupational-health/codes-of-practice/industrial-hygiene/593-industry-code-of-practice-for-safe-working-in-a-confined-space-2010?path=codes-of-practice/industrial-hygiene</w:t>
      </w:r>
    </w:p>
    <w:bookmarkEnd w:id="10"/>
    <w:p w:rsidR="00AC52EF" w:rsidRPr="00036791" w:rsidRDefault="009B16CA" w:rsidP="002834F6">
      <w:pPr>
        <w:spacing w:after="0" w:line="240" w:lineRule="auto"/>
        <w:ind w:left="539" w:hanging="539"/>
        <w:jc w:val="both"/>
        <w:rPr>
          <w:rFonts w:asciiTheme="minorHAnsi" w:hAnsiTheme="minorHAnsi" w:cs="Times New Roman"/>
          <w:b/>
          <w:bCs/>
          <w:sz w:val="24"/>
          <w:szCs w:val="24"/>
        </w:rPr>
      </w:pPr>
      <w:r w:rsidRPr="002834F6">
        <w:rPr>
          <w:rFonts w:asciiTheme="minorHAnsi" w:hAnsiTheme="minorHAnsi" w:cs="Times New Roman"/>
          <w:sz w:val="20"/>
          <w:szCs w:val="20"/>
          <w:lang w:val="en-GB"/>
        </w:rPr>
        <w:fldChar w:fldCharType="end"/>
      </w:r>
    </w:p>
    <w:sectPr w:rsidR="00AC52EF" w:rsidRPr="00036791" w:rsidSect="008D324D">
      <w:headerReference w:type="default" r:id="rId12"/>
      <w:footerReference w:type="default" r:id="rId13"/>
      <w:headerReference w:type="first" r:id="rId14"/>
      <w:footerReference w:type="first" r:id="rId15"/>
      <w:pgSz w:w="11906" w:h="16838" w:code="9"/>
      <w:pgMar w:top="1440" w:right="1080" w:bottom="1440" w:left="1080" w:header="576" w:footer="360"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AB" w:rsidRDefault="00F961AB" w:rsidP="00D04F6D">
      <w:pPr>
        <w:spacing w:after="0" w:line="240" w:lineRule="auto"/>
      </w:pPr>
      <w:r>
        <w:separator/>
      </w:r>
    </w:p>
  </w:endnote>
  <w:endnote w:type="continuationSeparator" w:id="0">
    <w:p w:rsidR="00F961AB" w:rsidRDefault="00F961AB" w:rsidP="00D0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6D" w:rsidRDefault="0063326D">
    <w:pPr>
      <w:pStyle w:val="Footer"/>
      <w:jc w:val="right"/>
    </w:pPr>
    <w:r>
      <w:fldChar w:fldCharType="begin"/>
    </w:r>
    <w:r>
      <w:instrText xml:space="preserve"> PAGE   \* MERGEFORMAT </w:instrText>
    </w:r>
    <w:r>
      <w:fldChar w:fldCharType="separate"/>
    </w:r>
    <w:r w:rsidR="00F6691A">
      <w:rPr>
        <w:noProof/>
      </w:rPr>
      <w:t>28</w:t>
    </w:r>
    <w:r>
      <w:rPr>
        <w:noProof/>
      </w:rPr>
      <w:fldChar w:fldCharType="end"/>
    </w:r>
  </w:p>
  <w:p w:rsidR="0063326D" w:rsidRDefault="0063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6D" w:rsidRDefault="0063326D">
    <w:pPr>
      <w:pStyle w:val="Footer"/>
      <w:jc w:val="right"/>
    </w:pPr>
    <w:r>
      <w:fldChar w:fldCharType="begin"/>
    </w:r>
    <w:r>
      <w:instrText xml:space="preserve"> PAGE   \* MERGEFORMAT </w:instrText>
    </w:r>
    <w:r>
      <w:fldChar w:fldCharType="separate"/>
    </w:r>
    <w:r w:rsidR="00F6691A">
      <w:rPr>
        <w:noProof/>
      </w:rPr>
      <w:t>24</w:t>
    </w:r>
    <w:r>
      <w:rPr>
        <w:noProof/>
      </w:rPr>
      <w:fldChar w:fldCharType="end"/>
    </w:r>
  </w:p>
  <w:p w:rsidR="0063326D" w:rsidRDefault="0063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AB" w:rsidRDefault="00F961AB" w:rsidP="00D04F6D">
      <w:pPr>
        <w:spacing w:after="0" w:line="240" w:lineRule="auto"/>
      </w:pPr>
      <w:r>
        <w:separator/>
      </w:r>
    </w:p>
  </w:footnote>
  <w:footnote w:type="continuationSeparator" w:id="0">
    <w:p w:rsidR="00F961AB" w:rsidRDefault="00F961AB" w:rsidP="00D04F6D">
      <w:pPr>
        <w:spacing w:after="0" w:line="240" w:lineRule="auto"/>
      </w:pPr>
      <w:r>
        <w:continuationSeparator/>
      </w:r>
    </w:p>
  </w:footnote>
  <w:footnote w:id="1">
    <w:p w:rsidR="008D324D" w:rsidRPr="00CA466E" w:rsidRDefault="008D324D" w:rsidP="008D324D">
      <w:pPr>
        <w:pStyle w:val="FootnoteText"/>
        <w:rPr>
          <w:rFonts w:asciiTheme="minorHAnsi" w:hAnsiTheme="minorHAnsi"/>
          <w:i/>
          <w:iCs/>
        </w:rPr>
      </w:pPr>
      <w:r w:rsidRPr="008D324D">
        <w:rPr>
          <w:rStyle w:val="FootnoteReference"/>
        </w:rPr>
        <w:sym w:font="Symbol" w:char="F02A"/>
      </w:r>
      <w:r>
        <w:t xml:space="preserve"> </w:t>
      </w:r>
      <w:r>
        <w:rPr>
          <w:rFonts w:asciiTheme="minorHAnsi" w:hAnsiTheme="minorHAnsi"/>
          <w:i/>
          <w:iCs/>
        </w:rPr>
        <w:t>Corresponding author.</w:t>
      </w:r>
    </w:p>
    <w:p w:rsidR="008D324D" w:rsidRPr="008D324D" w:rsidRDefault="008D324D" w:rsidP="008D324D">
      <w:pPr>
        <w:pStyle w:val="FootnoteText"/>
        <w:rPr>
          <w:lang w:val="en-AU"/>
        </w:rPr>
      </w:pPr>
      <w:r w:rsidRPr="00CA466E">
        <w:rPr>
          <w:rFonts w:asciiTheme="minorHAnsi" w:hAnsiTheme="minorHAnsi"/>
          <w:i/>
          <w:iCs/>
        </w:rPr>
        <w:t xml:space="preserve">E-mail address: </w:t>
      </w:r>
      <w:r w:rsidR="00F6691A">
        <w:rPr>
          <w:rFonts w:asciiTheme="minorHAnsi" w:hAnsiTheme="minorHAnsi"/>
          <w:i/>
          <w:iCs/>
        </w:rPr>
        <w:t>email</w:t>
      </w:r>
      <w:r w:rsidR="00F35003" w:rsidRPr="00F35003">
        <w:rPr>
          <w:rFonts w:asciiTheme="minorHAnsi" w:hAnsiTheme="minorHAnsi"/>
          <w:i/>
          <w:iCs/>
        </w:rPr>
        <w:t xml:space="preserve">@utm.my </w:t>
      </w:r>
      <w:r w:rsidRPr="00F35003">
        <w:rPr>
          <w:rFonts w:asciiTheme="minorHAnsi" w:hAnsiTheme="minorHAnsi"/>
          <w:i/>
          <w:iCs/>
        </w:rPr>
        <w:t>(</w:t>
      </w:r>
      <w:r w:rsidR="00F6691A">
        <w:rPr>
          <w:rFonts w:asciiTheme="minorHAnsi" w:hAnsiTheme="minorHAnsi"/>
          <w:i/>
          <w:iCs/>
        </w:rPr>
        <w:t>Name</w:t>
      </w:r>
      <w:r w:rsidRPr="00F35003">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6D" w:rsidRPr="00B62E7D" w:rsidRDefault="0063326D" w:rsidP="00B62E7D">
    <w:pPr>
      <w:pBdr>
        <w:bottom w:val="single" w:sz="4" w:space="1" w:color="auto"/>
      </w:pBdr>
      <w:tabs>
        <w:tab w:val="center" w:pos="4680"/>
        <w:tab w:val="right" w:pos="9360"/>
      </w:tabs>
      <w:spacing w:after="0"/>
      <w:rPr>
        <w:rFonts w:ascii="Times New Roman" w:hAnsi="Times New Roman"/>
        <w:i/>
        <w:iCs/>
        <w:color w:val="0070C0"/>
        <w:sz w:val="16"/>
        <w:szCs w:val="14"/>
        <w:lang w:val="en-GB"/>
      </w:rPr>
    </w:pPr>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-35560</wp:posOffset>
          </wp:positionV>
          <wp:extent cx="1371600" cy="330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200"/>
                  </a:xfrm>
                  <a:prstGeom prst="rect">
                    <a:avLst/>
                  </a:prstGeom>
                  <a:noFill/>
                </pic:spPr>
              </pic:pic>
            </a:graphicData>
          </a:graphic>
          <wp14:sizeRelH relativeFrom="page">
            <wp14:pctWidth>0</wp14:pctWidth>
          </wp14:sizeRelH>
          <wp14:sizeRelV relativeFrom="page">
            <wp14:pctHeight>0</wp14:pctHeight>
          </wp14:sizeRelV>
        </wp:anchor>
      </w:drawing>
    </w:r>
    <w:r w:rsidRPr="00B62E7D">
      <w:rPr>
        <w:rFonts w:ascii="Times New Roman" w:hAnsi="Times New Roman"/>
        <w:i/>
        <w:iCs/>
        <w:sz w:val="16"/>
        <w:szCs w:val="14"/>
        <w:lang w:val="en-GB"/>
      </w:rPr>
      <w:t xml:space="preserve">Journal of Advanced Research </w:t>
    </w:r>
    <w:r w:rsidR="008D324D" w:rsidRPr="008D324D">
      <w:rPr>
        <w:rFonts w:ascii="Times New Roman" w:hAnsi="Times New Roman"/>
        <w:i/>
        <w:iCs/>
        <w:sz w:val="16"/>
        <w:szCs w:val="14"/>
        <w:lang w:val="en-GB"/>
      </w:rPr>
      <w:t>in</w:t>
    </w:r>
    <w:r w:rsidR="008D324D">
      <w:rPr>
        <w:rFonts w:ascii="Times New Roman" w:hAnsi="Times New Roman"/>
        <w:i/>
        <w:iCs/>
        <w:sz w:val="16"/>
        <w:szCs w:val="14"/>
        <w:lang w:val="en-GB"/>
      </w:rPr>
      <w:t xml:space="preserve"> Occupational Safety and Health</w:t>
    </w:r>
  </w:p>
  <w:p w:rsidR="0063326D" w:rsidRPr="00A35F07" w:rsidRDefault="0063326D" w:rsidP="00F30E08">
    <w:pPr>
      <w:pBdr>
        <w:bottom w:val="single" w:sz="4" w:space="1" w:color="auto"/>
      </w:pBdr>
      <w:tabs>
        <w:tab w:val="center" w:pos="4680"/>
        <w:tab w:val="right" w:pos="9360"/>
      </w:tabs>
      <w:spacing w:after="0" w:line="480" w:lineRule="auto"/>
      <w:rPr>
        <w:rFonts w:ascii="Times New Roman" w:hAnsi="Times New Roman"/>
        <w:sz w:val="14"/>
        <w:szCs w:val="12"/>
        <w:lang w:val="en-GB"/>
      </w:rPr>
    </w:pPr>
    <w:r w:rsidRPr="00A35F07">
      <w:rPr>
        <w:rFonts w:ascii="Times New Roman" w:hAnsi="Times New Roman"/>
        <w:sz w:val="16"/>
        <w:szCs w:val="14"/>
        <w:lang w:val="en-GB"/>
      </w:rPr>
      <w:t xml:space="preserve">Volume </w:t>
    </w:r>
    <w:r w:rsidR="008D324D">
      <w:rPr>
        <w:rFonts w:ascii="Times New Roman" w:hAnsi="Times New Roman"/>
        <w:sz w:val="16"/>
        <w:szCs w:val="14"/>
        <w:lang w:val="en-GB"/>
      </w:rPr>
      <w:t>1</w:t>
    </w:r>
    <w:r w:rsidRPr="00A35F07">
      <w:rPr>
        <w:rFonts w:ascii="Times New Roman" w:hAnsi="Times New Roman"/>
        <w:sz w:val="16"/>
        <w:szCs w:val="14"/>
        <w:lang w:val="en-GB"/>
      </w:rPr>
      <w:t>, Issue 1 (201</w:t>
    </w:r>
    <w:r w:rsidR="008D324D">
      <w:rPr>
        <w:rFonts w:ascii="Times New Roman" w:hAnsi="Times New Roman"/>
        <w:sz w:val="16"/>
        <w:szCs w:val="14"/>
        <w:lang w:val="en-GB"/>
      </w:rPr>
      <w:t>8</w:t>
    </w:r>
    <w:r w:rsidRPr="00A35F07">
      <w:rPr>
        <w:rFonts w:ascii="Times New Roman" w:hAnsi="Times New Roman"/>
        <w:sz w:val="16"/>
        <w:szCs w:val="14"/>
        <w:lang w:val="en-GB"/>
      </w:rPr>
      <w:t xml:space="preserve">) </w:t>
    </w:r>
    <w:r w:rsidR="008D324D">
      <w:rPr>
        <w:rFonts w:ascii="Times New Roman" w:hAnsi="Times New Roman"/>
        <w:sz w:val="16"/>
        <w:szCs w:val="14"/>
        <w:lang w:val="en-GB"/>
      </w:rPr>
      <w:t>24</w:t>
    </w:r>
    <w:r w:rsidRPr="00A35F07">
      <w:rPr>
        <w:rFonts w:ascii="Times New Roman" w:hAnsi="Times New Roman"/>
        <w:sz w:val="16"/>
        <w:szCs w:val="14"/>
        <w:lang w:val="en-GB"/>
      </w:rPr>
      <w:t>-</w:t>
    </w:r>
    <w:r w:rsidR="008D324D">
      <w:rPr>
        <w:rFonts w:ascii="Times New Roman" w:hAnsi="Times New Roman"/>
        <w:sz w:val="16"/>
        <w:szCs w:val="14"/>
        <w:lang w:val="en-GB"/>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6D" w:rsidRPr="00B62E7D" w:rsidRDefault="0063326D" w:rsidP="00B62E7D">
    <w:pPr>
      <w:tabs>
        <w:tab w:val="center" w:pos="4680"/>
        <w:tab w:val="right" w:pos="9360"/>
      </w:tabs>
      <w:spacing w:after="0" w:line="240" w:lineRule="auto"/>
      <w:jc w:val="center"/>
      <w:rPr>
        <w:rFonts w:ascii="Times New Roman" w:hAnsi="Times New Roman"/>
        <w:i/>
        <w:iCs/>
        <w:sz w:val="16"/>
        <w:szCs w:val="14"/>
        <w:lang w:val="en-GB"/>
      </w:rPr>
    </w:pPr>
  </w:p>
  <w:p w:rsidR="0063326D" w:rsidRPr="00B62E7D" w:rsidRDefault="0063326D" w:rsidP="009C2B7E">
    <w:pPr>
      <w:tabs>
        <w:tab w:val="center" w:pos="4680"/>
        <w:tab w:val="right" w:pos="9360"/>
      </w:tabs>
      <w:spacing w:after="0" w:line="240" w:lineRule="auto"/>
      <w:jc w:val="center"/>
      <w:rPr>
        <w:rFonts w:ascii="Times New Roman" w:hAnsi="Times New Roman"/>
        <w:i/>
        <w:iCs/>
        <w:sz w:val="24"/>
        <w:lang w:val="en-GB"/>
      </w:rPr>
    </w:pPr>
    <w:r w:rsidRPr="00B62E7D">
      <w:rPr>
        <w:rFonts w:ascii="Times New Roman" w:hAnsi="Times New Roman"/>
        <w:i/>
        <w:iCs/>
        <w:sz w:val="16"/>
        <w:szCs w:val="14"/>
        <w:lang w:val="en-GB"/>
      </w:rPr>
      <w:t xml:space="preserve">Journal of Advanced Research </w:t>
    </w:r>
    <w:r w:rsidR="008D324D">
      <w:rPr>
        <w:rFonts w:ascii="Times New Roman" w:hAnsi="Times New Roman"/>
        <w:i/>
        <w:iCs/>
        <w:sz w:val="16"/>
        <w:szCs w:val="14"/>
        <w:lang w:val="en-GB"/>
      </w:rPr>
      <w:t>in Occupational Safety and Health</w:t>
    </w:r>
    <w:r w:rsidR="008D324D" w:rsidRPr="00D645C1">
      <w:rPr>
        <w:rFonts w:ascii="Times New Roman" w:hAnsi="Times New Roman"/>
        <w:i/>
        <w:iCs/>
        <w:sz w:val="16"/>
        <w:szCs w:val="14"/>
        <w:lang w:val="en-GB"/>
      </w:rPr>
      <w:t xml:space="preserve"> </w:t>
    </w:r>
    <w:r w:rsidR="008D324D">
      <w:rPr>
        <w:rFonts w:ascii="Times New Roman" w:hAnsi="Times New Roman"/>
        <w:sz w:val="16"/>
        <w:szCs w:val="14"/>
        <w:lang w:val="en-GB"/>
      </w:rPr>
      <w:t>1</w:t>
    </w:r>
    <w:r w:rsidR="008D324D" w:rsidRPr="00D645C1">
      <w:rPr>
        <w:rFonts w:ascii="Times New Roman" w:hAnsi="Times New Roman"/>
        <w:sz w:val="16"/>
        <w:szCs w:val="14"/>
        <w:lang w:val="en-GB"/>
      </w:rPr>
      <w:t>, Issue 1 (201</w:t>
    </w:r>
    <w:r w:rsidR="008D324D">
      <w:rPr>
        <w:rFonts w:ascii="Times New Roman" w:hAnsi="Times New Roman"/>
        <w:sz w:val="16"/>
        <w:szCs w:val="14"/>
        <w:lang w:val="en-GB"/>
      </w:rPr>
      <w:t>8</w:t>
    </w:r>
    <w:r w:rsidR="008D324D" w:rsidRPr="00D645C1">
      <w:rPr>
        <w:rFonts w:ascii="Times New Roman" w:hAnsi="Times New Roman"/>
        <w:sz w:val="16"/>
        <w:szCs w:val="14"/>
        <w:lang w:val="en-GB"/>
      </w:rPr>
      <w:t xml:space="preserve">) </w:t>
    </w:r>
    <w:r w:rsidR="008D324D">
      <w:rPr>
        <w:rFonts w:ascii="Times New Roman" w:hAnsi="Times New Roman"/>
        <w:sz w:val="16"/>
        <w:szCs w:val="14"/>
        <w:lang w:val="en-GB"/>
      </w:rPr>
      <w:t>24</w:t>
    </w:r>
    <w:r w:rsidR="008D324D" w:rsidRPr="00D645C1">
      <w:rPr>
        <w:rFonts w:ascii="Times New Roman" w:hAnsi="Times New Roman"/>
        <w:sz w:val="16"/>
        <w:szCs w:val="14"/>
        <w:lang w:val="en-GB"/>
      </w:rPr>
      <w:t>-</w:t>
    </w:r>
    <w:r w:rsidR="008D324D">
      <w:rPr>
        <w:rFonts w:ascii="Times New Roman" w:hAnsi="Times New Roman"/>
        <w:sz w:val="16"/>
        <w:szCs w:val="14"/>
        <w:lang w:val="en-GB"/>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9120D"/>
    <w:multiLevelType w:val="multilevel"/>
    <w:tmpl w:val="61F6924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2A31BA"/>
    <w:multiLevelType w:val="hybridMultilevel"/>
    <w:tmpl w:val="3FDA06EA"/>
    <w:lvl w:ilvl="0" w:tplc="A600E03A">
      <w:start w:val="1"/>
      <w:numFmt w:val="decimal"/>
      <w:lvlText w:val="%1."/>
      <w:lvlJc w:val="left"/>
      <w:pPr>
        <w:ind w:left="99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readOnly" w:enforcement="0"/>
  <w:defaultTabStop w:val="720"/>
  <w:characterSpacingControl w:val="doNotCompress"/>
  <w:hdrShapeDefaults>
    <o:shapedefaults v:ext="edit" spidmax="2049">
      <o:colormru v:ext="edit" colors="#770707,#f11717,#f43a3a,#f33939,#d10d0d,#fcd0d0,#f99999,#f43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2"/>
    <w:rsid w:val="00001634"/>
    <w:rsid w:val="00002A3A"/>
    <w:rsid w:val="00007E09"/>
    <w:rsid w:val="00011878"/>
    <w:rsid w:val="00013627"/>
    <w:rsid w:val="0001598A"/>
    <w:rsid w:val="00020AE3"/>
    <w:rsid w:val="0002701A"/>
    <w:rsid w:val="00030F0F"/>
    <w:rsid w:val="00031CA6"/>
    <w:rsid w:val="00033FA8"/>
    <w:rsid w:val="00034092"/>
    <w:rsid w:val="0003416D"/>
    <w:rsid w:val="00036791"/>
    <w:rsid w:val="000369F0"/>
    <w:rsid w:val="00041FF5"/>
    <w:rsid w:val="00045AC9"/>
    <w:rsid w:val="0004731E"/>
    <w:rsid w:val="00052C75"/>
    <w:rsid w:val="00052E86"/>
    <w:rsid w:val="00053FCC"/>
    <w:rsid w:val="00055A73"/>
    <w:rsid w:val="000572EA"/>
    <w:rsid w:val="00062518"/>
    <w:rsid w:val="00062D2F"/>
    <w:rsid w:val="00062D56"/>
    <w:rsid w:val="00070EF3"/>
    <w:rsid w:val="00076F6B"/>
    <w:rsid w:val="00077249"/>
    <w:rsid w:val="00083E9E"/>
    <w:rsid w:val="00085CEF"/>
    <w:rsid w:val="000908B7"/>
    <w:rsid w:val="000909A4"/>
    <w:rsid w:val="00093B07"/>
    <w:rsid w:val="00097881"/>
    <w:rsid w:val="000A2336"/>
    <w:rsid w:val="000A32DA"/>
    <w:rsid w:val="000A56A8"/>
    <w:rsid w:val="000A64BE"/>
    <w:rsid w:val="000C566A"/>
    <w:rsid w:val="000C7914"/>
    <w:rsid w:val="000D0857"/>
    <w:rsid w:val="000D0D97"/>
    <w:rsid w:val="000D115C"/>
    <w:rsid w:val="000D4430"/>
    <w:rsid w:val="000D5236"/>
    <w:rsid w:val="000D5743"/>
    <w:rsid w:val="000E2B1B"/>
    <w:rsid w:val="000E2FB8"/>
    <w:rsid w:val="000E449A"/>
    <w:rsid w:val="000F12BA"/>
    <w:rsid w:val="000F2828"/>
    <w:rsid w:val="000F3970"/>
    <w:rsid w:val="000F4817"/>
    <w:rsid w:val="0010010D"/>
    <w:rsid w:val="00100C13"/>
    <w:rsid w:val="0010311A"/>
    <w:rsid w:val="00105E61"/>
    <w:rsid w:val="0010621F"/>
    <w:rsid w:val="001101E2"/>
    <w:rsid w:val="00114A67"/>
    <w:rsid w:val="001159EE"/>
    <w:rsid w:val="00115DC9"/>
    <w:rsid w:val="001162E6"/>
    <w:rsid w:val="0012138E"/>
    <w:rsid w:val="001243DD"/>
    <w:rsid w:val="001262B5"/>
    <w:rsid w:val="001303AE"/>
    <w:rsid w:val="00130451"/>
    <w:rsid w:val="001376C6"/>
    <w:rsid w:val="0014273E"/>
    <w:rsid w:val="00143ED5"/>
    <w:rsid w:val="00145CBE"/>
    <w:rsid w:val="0015479D"/>
    <w:rsid w:val="00154A0C"/>
    <w:rsid w:val="001618C5"/>
    <w:rsid w:val="00162515"/>
    <w:rsid w:val="00162941"/>
    <w:rsid w:val="00173E7B"/>
    <w:rsid w:val="00174871"/>
    <w:rsid w:val="00174B32"/>
    <w:rsid w:val="00174E68"/>
    <w:rsid w:val="00181E0D"/>
    <w:rsid w:val="001824F9"/>
    <w:rsid w:val="00185184"/>
    <w:rsid w:val="00185767"/>
    <w:rsid w:val="00186B84"/>
    <w:rsid w:val="00193632"/>
    <w:rsid w:val="00197307"/>
    <w:rsid w:val="001A071F"/>
    <w:rsid w:val="001A202F"/>
    <w:rsid w:val="001A3E03"/>
    <w:rsid w:val="001A71AC"/>
    <w:rsid w:val="001A7F67"/>
    <w:rsid w:val="001B1CA8"/>
    <w:rsid w:val="001B3ADB"/>
    <w:rsid w:val="001B6545"/>
    <w:rsid w:val="001C3D57"/>
    <w:rsid w:val="001C7578"/>
    <w:rsid w:val="001D33DF"/>
    <w:rsid w:val="001D7C07"/>
    <w:rsid w:val="001E420B"/>
    <w:rsid w:val="001E475D"/>
    <w:rsid w:val="001E477D"/>
    <w:rsid w:val="001E55DB"/>
    <w:rsid w:val="001E6FFA"/>
    <w:rsid w:val="001F469B"/>
    <w:rsid w:val="001F53E6"/>
    <w:rsid w:val="00201D3A"/>
    <w:rsid w:val="002030BD"/>
    <w:rsid w:val="00203E37"/>
    <w:rsid w:val="0020525B"/>
    <w:rsid w:val="00211F17"/>
    <w:rsid w:val="00213F33"/>
    <w:rsid w:val="00222624"/>
    <w:rsid w:val="00223514"/>
    <w:rsid w:val="0022721C"/>
    <w:rsid w:val="00231479"/>
    <w:rsid w:val="0024060F"/>
    <w:rsid w:val="00240BA0"/>
    <w:rsid w:val="00241FB3"/>
    <w:rsid w:val="00243093"/>
    <w:rsid w:val="00245143"/>
    <w:rsid w:val="00246A03"/>
    <w:rsid w:val="002527FC"/>
    <w:rsid w:val="00256F34"/>
    <w:rsid w:val="00260537"/>
    <w:rsid w:val="00263C6E"/>
    <w:rsid w:val="00267678"/>
    <w:rsid w:val="002717D4"/>
    <w:rsid w:val="00272D2D"/>
    <w:rsid w:val="00275F1F"/>
    <w:rsid w:val="002829A6"/>
    <w:rsid w:val="002834F6"/>
    <w:rsid w:val="00287511"/>
    <w:rsid w:val="00294B30"/>
    <w:rsid w:val="002A24CC"/>
    <w:rsid w:val="002A310A"/>
    <w:rsid w:val="002A58FB"/>
    <w:rsid w:val="002A6D19"/>
    <w:rsid w:val="002B03C0"/>
    <w:rsid w:val="002B0F3F"/>
    <w:rsid w:val="002C0875"/>
    <w:rsid w:val="002D03B5"/>
    <w:rsid w:val="002D2C39"/>
    <w:rsid w:val="002D35B5"/>
    <w:rsid w:val="002D3DAC"/>
    <w:rsid w:val="002D4D8F"/>
    <w:rsid w:val="002D6E3C"/>
    <w:rsid w:val="002D70D5"/>
    <w:rsid w:val="002E2BEF"/>
    <w:rsid w:val="002E531E"/>
    <w:rsid w:val="002E685A"/>
    <w:rsid w:val="002E76AB"/>
    <w:rsid w:val="003001EC"/>
    <w:rsid w:val="00301173"/>
    <w:rsid w:val="003041AE"/>
    <w:rsid w:val="0030653F"/>
    <w:rsid w:val="003114D8"/>
    <w:rsid w:val="00320AED"/>
    <w:rsid w:val="00325F8E"/>
    <w:rsid w:val="00326248"/>
    <w:rsid w:val="00331A0C"/>
    <w:rsid w:val="003401A7"/>
    <w:rsid w:val="003422B3"/>
    <w:rsid w:val="00342F68"/>
    <w:rsid w:val="00346443"/>
    <w:rsid w:val="0035285D"/>
    <w:rsid w:val="00352DCA"/>
    <w:rsid w:val="003567FB"/>
    <w:rsid w:val="003570AE"/>
    <w:rsid w:val="00363024"/>
    <w:rsid w:val="003649BE"/>
    <w:rsid w:val="00365397"/>
    <w:rsid w:val="00365586"/>
    <w:rsid w:val="00367978"/>
    <w:rsid w:val="00370910"/>
    <w:rsid w:val="00375CE7"/>
    <w:rsid w:val="00377186"/>
    <w:rsid w:val="00380006"/>
    <w:rsid w:val="00380EA7"/>
    <w:rsid w:val="003819F6"/>
    <w:rsid w:val="003854AF"/>
    <w:rsid w:val="00385766"/>
    <w:rsid w:val="003864EE"/>
    <w:rsid w:val="003B23FA"/>
    <w:rsid w:val="003B5A4C"/>
    <w:rsid w:val="003B5DDF"/>
    <w:rsid w:val="003C1B8B"/>
    <w:rsid w:val="003C2354"/>
    <w:rsid w:val="003C4543"/>
    <w:rsid w:val="003C4F1F"/>
    <w:rsid w:val="003C6448"/>
    <w:rsid w:val="003D3AED"/>
    <w:rsid w:val="003D4515"/>
    <w:rsid w:val="003D5F12"/>
    <w:rsid w:val="003E2E48"/>
    <w:rsid w:val="003E5227"/>
    <w:rsid w:val="003E7FF2"/>
    <w:rsid w:val="003F00CB"/>
    <w:rsid w:val="003F54F8"/>
    <w:rsid w:val="003F6508"/>
    <w:rsid w:val="00405D01"/>
    <w:rsid w:val="00410D85"/>
    <w:rsid w:val="004111C0"/>
    <w:rsid w:val="004124CF"/>
    <w:rsid w:val="00416E49"/>
    <w:rsid w:val="00423555"/>
    <w:rsid w:val="00424493"/>
    <w:rsid w:val="00427AB8"/>
    <w:rsid w:val="00433F00"/>
    <w:rsid w:val="0043621F"/>
    <w:rsid w:val="00441140"/>
    <w:rsid w:val="00443625"/>
    <w:rsid w:val="00443CFE"/>
    <w:rsid w:val="004517E8"/>
    <w:rsid w:val="00455E24"/>
    <w:rsid w:val="00457354"/>
    <w:rsid w:val="00460E5E"/>
    <w:rsid w:val="004638F3"/>
    <w:rsid w:val="0046718D"/>
    <w:rsid w:val="00470BBC"/>
    <w:rsid w:val="00476ABE"/>
    <w:rsid w:val="00481ADD"/>
    <w:rsid w:val="00482A4B"/>
    <w:rsid w:val="0048412C"/>
    <w:rsid w:val="00485183"/>
    <w:rsid w:val="0048557F"/>
    <w:rsid w:val="004874D7"/>
    <w:rsid w:val="0049748E"/>
    <w:rsid w:val="004A21DD"/>
    <w:rsid w:val="004A2870"/>
    <w:rsid w:val="004A6DA8"/>
    <w:rsid w:val="004B0188"/>
    <w:rsid w:val="004B46E1"/>
    <w:rsid w:val="004B6B63"/>
    <w:rsid w:val="004C3D75"/>
    <w:rsid w:val="004C44CE"/>
    <w:rsid w:val="004D226B"/>
    <w:rsid w:val="004D3E91"/>
    <w:rsid w:val="004D43A8"/>
    <w:rsid w:val="004E09DB"/>
    <w:rsid w:val="004E1B60"/>
    <w:rsid w:val="004E2AF0"/>
    <w:rsid w:val="004E3FEF"/>
    <w:rsid w:val="004E4778"/>
    <w:rsid w:val="004E5242"/>
    <w:rsid w:val="004E6724"/>
    <w:rsid w:val="004F2618"/>
    <w:rsid w:val="004F330B"/>
    <w:rsid w:val="004F3583"/>
    <w:rsid w:val="004F4321"/>
    <w:rsid w:val="004F7546"/>
    <w:rsid w:val="00501C01"/>
    <w:rsid w:val="00513C2E"/>
    <w:rsid w:val="00517D47"/>
    <w:rsid w:val="0052065F"/>
    <w:rsid w:val="00525CA6"/>
    <w:rsid w:val="005320F2"/>
    <w:rsid w:val="00535629"/>
    <w:rsid w:val="00537204"/>
    <w:rsid w:val="00546B93"/>
    <w:rsid w:val="0054726F"/>
    <w:rsid w:val="0056096D"/>
    <w:rsid w:val="00562E26"/>
    <w:rsid w:val="00564585"/>
    <w:rsid w:val="005661E6"/>
    <w:rsid w:val="005669E4"/>
    <w:rsid w:val="00575D6A"/>
    <w:rsid w:val="00583563"/>
    <w:rsid w:val="00585556"/>
    <w:rsid w:val="005938B0"/>
    <w:rsid w:val="00595710"/>
    <w:rsid w:val="005A002C"/>
    <w:rsid w:val="005A2740"/>
    <w:rsid w:val="005A2A74"/>
    <w:rsid w:val="005A2C83"/>
    <w:rsid w:val="005A44E1"/>
    <w:rsid w:val="005A50C7"/>
    <w:rsid w:val="005A5297"/>
    <w:rsid w:val="005C12B9"/>
    <w:rsid w:val="005C3FB2"/>
    <w:rsid w:val="005D4DDA"/>
    <w:rsid w:val="005D5DD1"/>
    <w:rsid w:val="005E0EA9"/>
    <w:rsid w:val="005E5A35"/>
    <w:rsid w:val="005F02DF"/>
    <w:rsid w:val="005F499A"/>
    <w:rsid w:val="005F7490"/>
    <w:rsid w:val="005F76AC"/>
    <w:rsid w:val="005F7C83"/>
    <w:rsid w:val="00600C69"/>
    <w:rsid w:val="006018E9"/>
    <w:rsid w:val="00604E25"/>
    <w:rsid w:val="006110DF"/>
    <w:rsid w:val="0061146E"/>
    <w:rsid w:val="006205BB"/>
    <w:rsid w:val="006211DD"/>
    <w:rsid w:val="006222BB"/>
    <w:rsid w:val="00623666"/>
    <w:rsid w:val="00624481"/>
    <w:rsid w:val="006268DE"/>
    <w:rsid w:val="0063326D"/>
    <w:rsid w:val="00634728"/>
    <w:rsid w:val="00636B76"/>
    <w:rsid w:val="00637087"/>
    <w:rsid w:val="00643122"/>
    <w:rsid w:val="00646956"/>
    <w:rsid w:val="00660210"/>
    <w:rsid w:val="00665787"/>
    <w:rsid w:val="00666152"/>
    <w:rsid w:val="00671F92"/>
    <w:rsid w:val="006757DB"/>
    <w:rsid w:val="00676527"/>
    <w:rsid w:val="00676F78"/>
    <w:rsid w:val="006802AE"/>
    <w:rsid w:val="0068361F"/>
    <w:rsid w:val="006849E4"/>
    <w:rsid w:val="00686064"/>
    <w:rsid w:val="00693024"/>
    <w:rsid w:val="006962EC"/>
    <w:rsid w:val="00696405"/>
    <w:rsid w:val="006975D4"/>
    <w:rsid w:val="006A6D26"/>
    <w:rsid w:val="006B0F71"/>
    <w:rsid w:val="006B3E95"/>
    <w:rsid w:val="006C02A5"/>
    <w:rsid w:val="006C04DB"/>
    <w:rsid w:val="006C2900"/>
    <w:rsid w:val="006C372D"/>
    <w:rsid w:val="006D0861"/>
    <w:rsid w:val="006D2F74"/>
    <w:rsid w:val="006D4EFE"/>
    <w:rsid w:val="006D5075"/>
    <w:rsid w:val="006D5E0E"/>
    <w:rsid w:val="006E2F18"/>
    <w:rsid w:val="006E50A0"/>
    <w:rsid w:val="006E6416"/>
    <w:rsid w:val="006E7475"/>
    <w:rsid w:val="006F199E"/>
    <w:rsid w:val="006F3CD0"/>
    <w:rsid w:val="006F668D"/>
    <w:rsid w:val="006F7EFC"/>
    <w:rsid w:val="00702103"/>
    <w:rsid w:val="007076BE"/>
    <w:rsid w:val="0071290E"/>
    <w:rsid w:val="00716C85"/>
    <w:rsid w:val="00733681"/>
    <w:rsid w:val="007347CC"/>
    <w:rsid w:val="00737EAE"/>
    <w:rsid w:val="00740B36"/>
    <w:rsid w:val="00740BDD"/>
    <w:rsid w:val="00744428"/>
    <w:rsid w:val="00750C49"/>
    <w:rsid w:val="00752623"/>
    <w:rsid w:val="00756F61"/>
    <w:rsid w:val="00760218"/>
    <w:rsid w:val="007607EC"/>
    <w:rsid w:val="007664A6"/>
    <w:rsid w:val="00766E43"/>
    <w:rsid w:val="00766E9A"/>
    <w:rsid w:val="00766EBD"/>
    <w:rsid w:val="00767A59"/>
    <w:rsid w:val="00771884"/>
    <w:rsid w:val="007919EB"/>
    <w:rsid w:val="00792608"/>
    <w:rsid w:val="00797132"/>
    <w:rsid w:val="007A2E8A"/>
    <w:rsid w:val="007A5D54"/>
    <w:rsid w:val="007A6CD9"/>
    <w:rsid w:val="007B764A"/>
    <w:rsid w:val="007C1447"/>
    <w:rsid w:val="007C2112"/>
    <w:rsid w:val="007D0ADC"/>
    <w:rsid w:val="007D20A9"/>
    <w:rsid w:val="007D4EA9"/>
    <w:rsid w:val="007D5A30"/>
    <w:rsid w:val="007D6552"/>
    <w:rsid w:val="007D787D"/>
    <w:rsid w:val="007E3B9C"/>
    <w:rsid w:val="007E3DD4"/>
    <w:rsid w:val="007E7140"/>
    <w:rsid w:val="007F01AF"/>
    <w:rsid w:val="007F2FAD"/>
    <w:rsid w:val="007F3755"/>
    <w:rsid w:val="007F5C07"/>
    <w:rsid w:val="007F7C57"/>
    <w:rsid w:val="008009E7"/>
    <w:rsid w:val="00805DE4"/>
    <w:rsid w:val="00812DC0"/>
    <w:rsid w:val="0081317D"/>
    <w:rsid w:val="00813855"/>
    <w:rsid w:val="00814B28"/>
    <w:rsid w:val="00814D45"/>
    <w:rsid w:val="008169AB"/>
    <w:rsid w:val="00820053"/>
    <w:rsid w:val="008268B7"/>
    <w:rsid w:val="00827510"/>
    <w:rsid w:val="008336E6"/>
    <w:rsid w:val="00834773"/>
    <w:rsid w:val="00837A02"/>
    <w:rsid w:val="00856F19"/>
    <w:rsid w:val="008576C3"/>
    <w:rsid w:val="00862CFF"/>
    <w:rsid w:val="00863054"/>
    <w:rsid w:val="00864500"/>
    <w:rsid w:val="00865A88"/>
    <w:rsid w:val="008717CC"/>
    <w:rsid w:val="0087532E"/>
    <w:rsid w:val="00885196"/>
    <w:rsid w:val="0088664F"/>
    <w:rsid w:val="00887E7F"/>
    <w:rsid w:val="008935E0"/>
    <w:rsid w:val="0089497C"/>
    <w:rsid w:val="00894FF5"/>
    <w:rsid w:val="008961BA"/>
    <w:rsid w:val="008B0833"/>
    <w:rsid w:val="008B0C03"/>
    <w:rsid w:val="008B112F"/>
    <w:rsid w:val="008B2CC4"/>
    <w:rsid w:val="008B37AD"/>
    <w:rsid w:val="008B4876"/>
    <w:rsid w:val="008B59C2"/>
    <w:rsid w:val="008B6F7D"/>
    <w:rsid w:val="008C2A4E"/>
    <w:rsid w:val="008C3E88"/>
    <w:rsid w:val="008C496F"/>
    <w:rsid w:val="008C4A54"/>
    <w:rsid w:val="008C57E8"/>
    <w:rsid w:val="008D324D"/>
    <w:rsid w:val="008D7E25"/>
    <w:rsid w:val="008D7EAB"/>
    <w:rsid w:val="008E0B33"/>
    <w:rsid w:val="008E2A63"/>
    <w:rsid w:val="008E5707"/>
    <w:rsid w:val="008E5C2A"/>
    <w:rsid w:val="008E794B"/>
    <w:rsid w:val="008F39B7"/>
    <w:rsid w:val="00902150"/>
    <w:rsid w:val="00902D17"/>
    <w:rsid w:val="009067BC"/>
    <w:rsid w:val="00911255"/>
    <w:rsid w:val="009206EA"/>
    <w:rsid w:val="00920B0D"/>
    <w:rsid w:val="00920E0F"/>
    <w:rsid w:val="00920EDA"/>
    <w:rsid w:val="0092501F"/>
    <w:rsid w:val="009265B0"/>
    <w:rsid w:val="00930458"/>
    <w:rsid w:val="00931A48"/>
    <w:rsid w:val="009369A9"/>
    <w:rsid w:val="00954014"/>
    <w:rsid w:val="0095553A"/>
    <w:rsid w:val="00960769"/>
    <w:rsid w:val="00961932"/>
    <w:rsid w:val="00963CE0"/>
    <w:rsid w:val="00967161"/>
    <w:rsid w:val="0097020E"/>
    <w:rsid w:val="00971FE0"/>
    <w:rsid w:val="009845C9"/>
    <w:rsid w:val="00985CD1"/>
    <w:rsid w:val="00995362"/>
    <w:rsid w:val="00996442"/>
    <w:rsid w:val="00996738"/>
    <w:rsid w:val="009B0536"/>
    <w:rsid w:val="009B16CA"/>
    <w:rsid w:val="009B7255"/>
    <w:rsid w:val="009C1882"/>
    <w:rsid w:val="009C2B7E"/>
    <w:rsid w:val="009C56E6"/>
    <w:rsid w:val="009C7625"/>
    <w:rsid w:val="009D1D6C"/>
    <w:rsid w:val="009D536F"/>
    <w:rsid w:val="009E4A4E"/>
    <w:rsid w:val="009E50F9"/>
    <w:rsid w:val="009E717B"/>
    <w:rsid w:val="009E7D66"/>
    <w:rsid w:val="009F04AB"/>
    <w:rsid w:val="009F0D50"/>
    <w:rsid w:val="009F34D3"/>
    <w:rsid w:val="009F4B1B"/>
    <w:rsid w:val="009F63F0"/>
    <w:rsid w:val="00A018AC"/>
    <w:rsid w:val="00A04B94"/>
    <w:rsid w:val="00A10975"/>
    <w:rsid w:val="00A11688"/>
    <w:rsid w:val="00A1483C"/>
    <w:rsid w:val="00A14A9D"/>
    <w:rsid w:val="00A16C8A"/>
    <w:rsid w:val="00A23C11"/>
    <w:rsid w:val="00A27CC3"/>
    <w:rsid w:val="00A3083B"/>
    <w:rsid w:val="00A32583"/>
    <w:rsid w:val="00A345EC"/>
    <w:rsid w:val="00A351B9"/>
    <w:rsid w:val="00A35F07"/>
    <w:rsid w:val="00A4332E"/>
    <w:rsid w:val="00A4677C"/>
    <w:rsid w:val="00A5045E"/>
    <w:rsid w:val="00A60103"/>
    <w:rsid w:val="00A61178"/>
    <w:rsid w:val="00A61B43"/>
    <w:rsid w:val="00A62331"/>
    <w:rsid w:val="00A63BE6"/>
    <w:rsid w:val="00A63E6D"/>
    <w:rsid w:val="00A72AC1"/>
    <w:rsid w:val="00A73579"/>
    <w:rsid w:val="00A7751E"/>
    <w:rsid w:val="00A8403C"/>
    <w:rsid w:val="00A851AD"/>
    <w:rsid w:val="00A86969"/>
    <w:rsid w:val="00A86C4C"/>
    <w:rsid w:val="00A90D49"/>
    <w:rsid w:val="00A9190A"/>
    <w:rsid w:val="00A94606"/>
    <w:rsid w:val="00A949A3"/>
    <w:rsid w:val="00A96568"/>
    <w:rsid w:val="00AA4EB5"/>
    <w:rsid w:val="00AA6426"/>
    <w:rsid w:val="00AB06A9"/>
    <w:rsid w:val="00AB4FF5"/>
    <w:rsid w:val="00AB510C"/>
    <w:rsid w:val="00AB5E87"/>
    <w:rsid w:val="00AB60F4"/>
    <w:rsid w:val="00AC3B28"/>
    <w:rsid w:val="00AC416B"/>
    <w:rsid w:val="00AC52EF"/>
    <w:rsid w:val="00AC61FC"/>
    <w:rsid w:val="00AD3097"/>
    <w:rsid w:val="00AD50C7"/>
    <w:rsid w:val="00AD7615"/>
    <w:rsid w:val="00AD7AF5"/>
    <w:rsid w:val="00AE0A74"/>
    <w:rsid w:val="00AE226E"/>
    <w:rsid w:val="00AE35A6"/>
    <w:rsid w:val="00AE3955"/>
    <w:rsid w:val="00AE53E7"/>
    <w:rsid w:val="00AF0F9E"/>
    <w:rsid w:val="00AF2D36"/>
    <w:rsid w:val="00AF346B"/>
    <w:rsid w:val="00AF4F55"/>
    <w:rsid w:val="00AF614D"/>
    <w:rsid w:val="00B02428"/>
    <w:rsid w:val="00B13C44"/>
    <w:rsid w:val="00B16148"/>
    <w:rsid w:val="00B17929"/>
    <w:rsid w:val="00B21110"/>
    <w:rsid w:val="00B216D6"/>
    <w:rsid w:val="00B21D26"/>
    <w:rsid w:val="00B22198"/>
    <w:rsid w:val="00B2317A"/>
    <w:rsid w:val="00B258D7"/>
    <w:rsid w:val="00B32E49"/>
    <w:rsid w:val="00B33C0A"/>
    <w:rsid w:val="00B33E35"/>
    <w:rsid w:val="00B40F7F"/>
    <w:rsid w:val="00B421F6"/>
    <w:rsid w:val="00B43696"/>
    <w:rsid w:val="00B510DB"/>
    <w:rsid w:val="00B55D76"/>
    <w:rsid w:val="00B62E7D"/>
    <w:rsid w:val="00B634CB"/>
    <w:rsid w:val="00B63C28"/>
    <w:rsid w:val="00B66B85"/>
    <w:rsid w:val="00B707BF"/>
    <w:rsid w:val="00B73937"/>
    <w:rsid w:val="00B73E7A"/>
    <w:rsid w:val="00B74204"/>
    <w:rsid w:val="00B743A9"/>
    <w:rsid w:val="00B76477"/>
    <w:rsid w:val="00B767CC"/>
    <w:rsid w:val="00B77C7A"/>
    <w:rsid w:val="00B81C14"/>
    <w:rsid w:val="00B843A0"/>
    <w:rsid w:val="00B84E28"/>
    <w:rsid w:val="00B85AF4"/>
    <w:rsid w:val="00B87BA6"/>
    <w:rsid w:val="00B905AB"/>
    <w:rsid w:val="00B90B52"/>
    <w:rsid w:val="00BA3174"/>
    <w:rsid w:val="00BA5892"/>
    <w:rsid w:val="00BB040B"/>
    <w:rsid w:val="00BB12E3"/>
    <w:rsid w:val="00BB1FD5"/>
    <w:rsid w:val="00BB428F"/>
    <w:rsid w:val="00BC7B85"/>
    <w:rsid w:val="00BC7C22"/>
    <w:rsid w:val="00BD0FDE"/>
    <w:rsid w:val="00BD2359"/>
    <w:rsid w:val="00BD68AE"/>
    <w:rsid w:val="00BE39ED"/>
    <w:rsid w:val="00BE6314"/>
    <w:rsid w:val="00BE763C"/>
    <w:rsid w:val="00BF3561"/>
    <w:rsid w:val="00C11FE4"/>
    <w:rsid w:val="00C1238E"/>
    <w:rsid w:val="00C165D0"/>
    <w:rsid w:val="00C16C09"/>
    <w:rsid w:val="00C21C8F"/>
    <w:rsid w:val="00C2396B"/>
    <w:rsid w:val="00C2403A"/>
    <w:rsid w:val="00C305D5"/>
    <w:rsid w:val="00C31E3B"/>
    <w:rsid w:val="00C328F1"/>
    <w:rsid w:val="00C370E7"/>
    <w:rsid w:val="00C42E4C"/>
    <w:rsid w:val="00C4452A"/>
    <w:rsid w:val="00C462E1"/>
    <w:rsid w:val="00C50516"/>
    <w:rsid w:val="00C51F21"/>
    <w:rsid w:val="00C548EC"/>
    <w:rsid w:val="00C55009"/>
    <w:rsid w:val="00C56ED7"/>
    <w:rsid w:val="00C65DC4"/>
    <w:rsid w:val="00C806FC"/>
    <w:rsid w:val="00C82F66"/>
    <w:rsid w:val="00C91FDE"/>
    <w:rsid w:val="00C93DE6"/>
    <w:rsid w:val="00C95956"/>
    <w:rsid w:val="00CA75BC"/>
    <w:rsid w:val="00CB3FDA"/>
    <w:rsid w:val="00CB4DE9"/>
    <w:rsid w:val="00CB6FEE"/>
    <w:rsid w:val="00CC052F"/>
    <w:rsid w:val="00CC0FC9"/>
    <w:rsid w:val="00CC2910"/>
    <w:rsid w:val="00CC3D22"/>
    <w:rsid w:val="00CC45F7"/>
    <w:rsid w:val="00CC4EF2"/>
    <w:rsid w:val="00CC65C4"/>
    <w:rsid w:val="00CC67C0"/>
    <w:rsid w:val="00CC6D71"/>
    <w:rsid w:val="00CC723C"/>
    <w:rsid w:val="00CD4CC1"/>
    <w:rsid w:val="00CE304F"/>
    <w:rsid w:val="00CE7BA0"/>
    <w:rsid w:val="00CF087A"/>
    <w:rsid w:val="00CF2500"/>
    <w:rsid w:val="00CF31AA"/>
    <w:rsid w:val="00CF40BD"/>
    <w:rsid w:val="00CF61BA"/>
    <w:rsid w:val="00CF68ED"/>
    <w:rsid w:val="00CF7B43"/>
    <w:rsid w:val="00D04F6D"/>
    <w:rsid w:val="00D1084A"/>
    <w:rsid w:val="00D2189E"/>
    <w:rsid w:val="00D221BF"/>
    <w:rsid w:val="00D27D2F"/>
    <w:rsid w:val="00D325BF"/>
    <w:rsid w:val="00D33ADA"/>
    <w:rsid w:val="00D33F84"/>
    <w:rsid w:val="00D449C6"/>
    <w:rsid w:val="00D44D6E"/>
    <w:rsid w:val="00D477A5"/>
    <w:rsid w:val="00D52C16"/>
    <w:rsid w:val="00D645C1"/>
    <w:rsid w:val="00D67AF1"/>
    <w:rsid w:val="00D7542E"/>
    <w:rsid w:val="00D83D95"/>
    <w:rsid w:val="00D87F36"/>
    <w:rsid w:val="00D94B4A"/>
    <w:rsid w:val="00D94C2E"/>
    <w:rsid w:val="00D95734"/>
    <w:rsid w:val="00D9616B"/>
    <w:rsid w:val="00DA02DE"/>
    <w:rsid w:val="00DB42C5"/>
    <w:rsid w:val="00DB6D02"/>
    <w:rsid w:val="00DC4022"/>
    <w:rsid w:val="00DC7B14"/>
    <w:rsid w:val="00DD0068"/>
    <w:rsid w:val="00DD12D5"/>
    <w:rsid w:val="00DD6E18"/>
    <w:rsid w:val="00DE248F"/>
    <w:rsid w:val="00DE7430"/>
    <w:rsid w:val="00DF1ECB"/>
    <w:rsid w:val="00DF233D"/>
    <w:rsid w:val="00DF3105"/>
    <w:rsid w:val="00DF6BC6"/>
    <w:rsid w:val="00E0737B"/>
    <w:rsid w:val="00E14016"/>
    <w:rsid w:val="00E1457D"/>
    <w:rsid w:val="00E204D8"/>
    <w:rsid w:val="00E22955"/>
    <w:rsid w:val="00E23129"/>
    <w:rsid w:val="00E26ABD"/>
    <w:rsid w:val="00E32CB8"/>
    <w:rsid w:val="00E4196F"/>
    <w:rsid w:val="00E4706E"/>
    <w:rsid w:val="00E52214"/>
    <w:rsid w:val="00E523C7"/>
    <w:rsid w:val="00E534FB"/>
    <w:rsid w:val="00E53C8B"/>
    <w:rsid w:val="00E5403B"/>
    <w:rsid w:val="00E541B9"/>
    <w:rsid w:val="00E55CFF"/>
    <w:rsid w:val="00E56577"/>
    <w:rsid w:val="00E62E05"/>
    <w:rsid w:val="00E700F2"/>
    <w:rsid w:val="00E71A0D"/>
    <w:rsid w:val="00E7304B"/>
    <w:rsid w:val="00E74A3D"/>
    <w:rsid w:val="00E750D4"/>
    <w:rsid w:val="00E768F2"/>
    <w:rsid w:val="00E826B6"/>
    <w:rsid w:val="00E83904"/>
    <w:rsid w:val="00E9028B"/>
    <w:rsid w:val="00E9296C"/>
    <w:rsid w:val="00E96B8D"/>
    <w:rsid w:val="00E977DD"/>
    <w:rsid w:val="00EA4056"/>
    <w:rsid w:val="00EA4EBE"/>
    <w:rsid w:val="00EA5B80"/>
    <w:rsid w:val="00EB33C5"/>
    <w:rsid w:val="00EB6DCD"/>
    <w:rsid w:val="00EB6E29"/>
    <w:rsid w:val="00EC0868"/>
    <w:rsid w:val="00EC22A4"/>
    <w:rsid w:val="00EC2984"/>
    <w:rsid w:val="00EC73E9"/>
    <w:rsid w:val="00EC74A6"/>
    <w:rsid w:val="00EC7B9E"/>
    <w:rsid w:val="00ED37F4"/>
    <w:rsid w:val="00ED5795"/>
    <w:rsid w:val="00ED5AEC"/>
    <w:rsid w:val="00ED62A5"/>
    <w:rsid w:val="00ED6B38"/>
    <w:rsid w:val="00EE434A"/>
    <w:rsid w:val="00EE5AB2"/>
    <w:rsid w:val="00EE75D6"/>
    <w:rsid w:val="00EF017C"/>
    <w:rsid w:val="00EF2EE3"/>
    <w:rsid w:val="00EF3D4A"/>
    <w:rsid w:val="00EF5EB2"/>
    <w:rsid w:val="00F00A0A"/>
    <w:rsid w:val="00F00A7E"/>
    <w:rsid w:val="00F04786"/>
    <w:rsid w:val="00F048A5"/>
    <w:rsid w:val="00F063E2"/>
    <w:rsid w:val="00F10D8F"/>
    <w:rsid w:val="00F143CD"/>
    <w:rsid w:val="00F24C8B"/>
    <w:rsid w:val="00F255D0"/>
    <w:rsid w:val="00F30E08"/>
    <w:rsid w:val="00F325AC"/>
    <w:rsid w:val="00F35003"/>
    <w:rsid w:val="00F371F0"/>
    <w:rsid w:val="00F40A5A"/>
    <w:rsid w:val="00F42229"/>
    <w:rsid w:val="00F4487D"/>
    <w:rsid w:val="00F44F60"/>
    <w:rsid w:val="00F468A4"/>
    <w:rsid w:val="00F54084"/>
    <w:rsid w:val="00F56405"/>
    <w:rsid w:val="00F61424"/>
    <w:rsid w:val="00F635CB"/>
    <w:rsid w:val="00F6691A"/>
    <w:rsid w:val="00F67FDC"/>
    <w:rsid w:val="00F72F82"/>
    <w:rsid w:val="00F73890"/>
    <w:rsid w:val="00F7779D"/>
    <w:rsid w:val="00F82B99"/>
    <w:rsid w:val="00F8564E"/>
    <w:rsid w:val="00F9198F"/>
    <w:rsid w:val="00F92817"/>
    <w:rsid w:val="00F9403C"/>
    <w:rsid w:val="00F961AB"/>
    <w:rsid w:val="00FA09CD"/>
    <w:rsid w:val="00FA486C"/>
    <w:rsid w:val="00FA7ABA"/>
    <w:rsid w:val="00FB126B"/>
    <w:rsid w:val="00FB2C9E"/>
    <w:rsid w:val="00FB3EF9"/>
    <w:rsid w:val="00FB6A9B"/>
    <w:rsid w:val="00FC5964"/>
    <w:rsid w:val="00FD0583"/>
    <w:rsid w:val="00FD2F51"/>
    <w:rsid w:val="00FD3385"/>
    <w:rsid w:val="00FD7B2D"/>
    <w:rsid w:val="00FE5CDA"/>
    <w:rsid w:val="00FE70C8"/>
    <w:rsid w:val="00FF0A43"/>
    <w:rsid w:val="00FF32F4"/>
    <w:rsid w:val="00FF5DFB"/>
    <w:rsid w:val="00FF6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0707,#f11717,#f43a3a,#f33939,#d10d0d,#fcd0d0,#f99999,#f43e3e"/>
    </o:shapedefaults>
    <o:shapelayout v:ext="edit">
      <o:idmap v:ext="edit" data="1"/>
    </o:shapelayout>
  </w:shapeDefaults>
  <w:decimalSymbol w:val="."/>
  <w:listSeparator w:val=","/>
  <w14:docId w14:val="48A15887"/>
  <w15:chartTrackingRefBased/>
  <w15:docId w15:val="{BC286A94-0E8C-4F13-991A-7CD58579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00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7304B"/>
    <w:pPr>
      <w:keepNext/>
      <w:keepLines/>
      <w:spacing w:before="480" w:after="0"/>
      <w:outlineLvl w:val="0"/>
    </w:pPr>
    <w:rPr>
      <w:rFonts w:ascii="Cambria" w:eastAsia="Times New Roman" w:hAnsi="Cambria" w:cs="Times New Roman"/>
      <w:b/>
      <w:bCs/>
      <w:color w:val="365F91"/>
      <w:sz w:val="28"/>
      <w:szCs w:val="28"/>
      <w:lang w:eastAsia="ja-JP"/>
    </w:rPr>
  </w:style>
  <w:style w:type="paragraph" w:styleId="Heading2">
    <w:name w:val="heading 2"/>
    <w:basedOn w:val="Normal"/>
    <w:next w:val="Normal"/>
    <w:link w:val="Heading2Char"/>
    <w:uiPriority w:val="9"/>
    <w:semiHidden/>
    <w:unhideWhenUsed/>
    <w:qFormat/>
    <w:rsid w:val="00482A4B"/>
    <w:pPr>
      <w:keepNext/>
      <w:spacing w:before="240" w:after="60"/>
      <w:outlineLvl w:val="1"/>
    </w:pPr>
    <w:rPr>
      <w:rFonts w:ascii="Calibri Light" w:eastAsia="SimSun" w:hAnsi="Calibri Light" w:cs="Times New Roman"/>
      <w:b/>
      <w:bCs/>
      <w:i/>
      <w:iCs/>
      <w:sz w:val="28"/>
      <w:szCs w:val="28"/>
    </w:rPr>
  </w:style>
  <w:style w:type="paragraph" w:styleId="Heading3">
    <w:name w:val="heading 3"/>
    <w:basedOn w:val="Normal"/>
    <w:next w:val="Normal"/>
    <w:link w:val="Heading3Char"/>
    <w:uiPriority w:val="9"/>
    <w:semiHidden/>
    <w:unhideWhenUsed/>
    <w:qFormat/>
    <w:rsid w:val="006222BB"/>
    <w:pPr>
      <w:keepNext/>
      <w:spacing w:before="240" w:after="60"/>
      <w:outlineLvl w:val="2"/>
    </w:pPr>
    <w:rPr>
      <w:rFonts w:ascii="Calibri Light" w:eastAsia="SimSun" w:hAnsi="Calibri Light" w:cs="Times New Roman"/>
      <w:b/>
      <w:bCs/>
      <w:sz w:val="26"/>
      <w:szCs w:val="26"/>
    </w:rPr>
  </w:style>
  <w:style w:type="paragraph" w:styleId="Heading4">
    <w:name w:val="heading 4"/>
    <w:basedOn w:val="Normal"/>
    <w:next w:val="Normal"/>
    <w:link w:val="Heading4Char"/>
    <w:uiPriority w:val="9"/>
    <w:semiHidden/>
    <w:unhideWhenUsed/>
    <w:qFormat/>
    <w:rsid w:val="009619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B32"/>
    <w:rPr>
      <w:rFonts w:ascii="Tahoma" w:hAnsi="Tahoma" w:cs="Tahoma"/>
      <w:sz w:val="16"/>
      <w:szCs w:val="16"/>
    </w:rPr>
  </w:style>
  <w:style w:type="paragraph" w:styleId="ListParagraph">
    <w:name w:val="List Paragraph"/>
    <w:basedOn w:val="Normal"/>
    <w:uiPriority w:val="34"/>
    <w:qFormat/>
    <w:rsid w:val="00424493"/>
    <w:pPr>
      <w:ind w:left="720"/>
      <w:contextualSpacing/>
    </w:pPr>
  </w:style>
  <w:style w:type="character" w:customStyle="1" w:styleId="apple-style-span">
    <w:name w:val="apple-style-span"/>
    <w:rsid w:val="00E62E05"/>
  </w:style>
  <w:style w:type="character" w:customStyle="1" w:styleId="apple-converted-space">
    <w:name w:val="apple-converted-space"/>
    <w:rsid w:val="00E62E05"/>
  </w:style>
  <w:style w:type="paragraph" w:styleId="NormalWeb">
    <w:name w:val="Normal (Web)"/>
    <w:basedOn w:val="Normal"/>
    <w:uiPriority w:val="99"/>
    <w:unhideWhenUsed/>
    <w:rsid w:val="00E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62E05"/>
    <w:rPr>
      <w:b/>
      <w:bCs/>
    </w:rPr>
  </w:style>
  <w:style w:type="paragraph" w:customStyle="1" w:styleId="nwstxtlead">
    <w:name w:val="nwstxtlead"/>
    <w:basedOn w:val="Normal"/>
    <w:rsid w:val="00E62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wstxttext">
    <w:name w:val="nwstxttext"/>
    <w:basedOn w:val="Normal"/>
    <w:rsid w:val="00E62E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2721C"/>
    <w:rPr>
      <w:color w:val="0000FF"/>
      <w:u w:val="single"/>
    </w:rPr>
  </w:style>
  <w:style w:type="table" w:styleId="TableGrid">
    <w:name w:val="Table Grid"/>
    <w:basedOn w:val="TableNormal"/>
    <w:uiPriority w:val="59"/>
    <w:rsid w:val="0024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367978"/>
    <w:pPr>
      <w:spacing w:after="0" w:line="240" w:lineRule="auto"/>
      <w:ind w:left="720"/>
    </w:pPr>
    <w:rPr>
      <w:rFonts w:ascii="Times New Roman" w:eastAsia="Times New Roman" w:hAnsi="Times New Roman" w:cs="Times New Roman"/>
    </w:rPr>
  </w:style>
  <w:style w:type="character" w:customStyle="1" w:styleId="BodyText2Char">
    <w:name w:val="Body Text 2 Char"/>
    <w:link w:val="BodyText2"/>
    <w:semiHidden/>
    <w:rsid w:val="00367978"/>
    <w:rPr>
      <w:rFonts w:ascii="Times New Roman" w:eastAsia="Times New Roman" w:hAnsi="Times New Roman" w:cs="Times New Roman"/>
      <w:sz w:val="22"/>
      <w:szCs w:val="22"/>
    </w:rPr>
  </w:style>
  <w:style w:type="paragraph" w:customStyle="1" w:styleId="Default">
    <w:name w:val="Default"/>
    <w:rsid w:val="00EF2EE3"/>
    <w:pPr>
      <w:autoSpaceDE w:val="0"/>
      <w:autoSpaceDN w:val="0"/>
      <w:adjustRightInd w:val="0"/>
    </w:pPr>
    <w:rPr>
      <w:rFonts w:ascii="Times New Roman" w:hAnsi="Times New Roman" w:cs="Times New Roman"/>
      <w:color w:val="000000"/>
      <w:sz w:val="24"/>
      <w:szCs w:val="24"/>
      <w:lang w:val="en-US" w:eastAsia="en-US"/>
    </w:rPr>
  </w:style>
  <w:style w:type="table" w:styleId="LightShading-Accent1">
    <w:name w:val="Light Shading Accent 1"/>
    <w:basedOn w:val="TableNormal"/>
    <w:uiPriority w:val="60"/>
    <w:rsid w:val="00DF31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qFormat/>
    <w:rsid w:val="00DF3105"/>
    <w:pPr>
      <w:spacing w:line="240" w:lineRule="auto"/>
    </w:pPr>
    <w:rPr>
      <w:b/>
      <w:bCs/>
      <w:color w:val="4F81BD"/>
      <w:sz w:val="18"/>
      <w:szCs w:val="18"/>
    </w:rPr>
  </w:style>
  <w:style w:type="table" w:styleId="LightShading-Accent4">
    <w:name w:val="Light Shading Accent 4"/>
    <w:basedOn w:val="TableNormal"/>
    <w:uiPriority w:val="60"/>
    <w:rsid w:val="00CE7BA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1Char">
    <w:name w:val="Heading 1 Char"/>
    <w:link w:val="Heading1"/>
    <w:uiPriority w:val="9"/>
    <w:rsid w:val="00E7304B"/>
    <w:rPr>
      <w:rFonts w:ascii="Cambria" w:eastAsia="Times New Roman" w:hAnsi="Cambria" w:cs="Times New Roman"/>
      <w:b/>
      <w:bCs/>
      <w:color w:val="365F91"/>
      <w:sz w:val="28"/>
      <w:szCs w:val="28"/>
      <w:lang w:eastAsia="ja-JP"/>
    </w:rPr>
  </w:style>
  <w:style w:type="paragraph" w:styleId="Bibliography">
    <w:name w:val="Bibliography"/>
    <w:basedOn w:val="Normal"/>
    <w:next w:val="Normal"/>
    <w:uiPriority w:val="37"/>
    <w:unhideWhenUsed/>
    <w:rsid w:val="00E7304B"/>
  </w:style>
  <w:style w:type="paragraph" w:styleId="Header">
    <w:name w:val="header"/>
    <w:basedOn w:val="Normal"/>
    <w:link w:val="HeaderChar"/>
    <w:unhideWhenUsed/>
    <w:rsid w:val="00D04F6D"/>
    <w:pPr>
      <w:tabs>
        <w:tab w:val="center" w:pos="4680"/>
        <w:tab w:val="right" w:pos="9360"/>
      </w:tabs>
      <w:spacing w:after="0" w:line="240" w:lineRule="auto"/>
    </w:pPr>
  </w:style>
  <w:style w:type="character" w:customStyle="1" w:styleId="HeaderChar">
    <w:name w:val="Header Char"/>
    <w:link w:val="Header"/>
    <w:rsid w:val="00D04F6D"/>
    <w:rPr>
      <w:sz w:val="22"/>
      <w:szCs w:val="22"/>
    </w:rPr>
  </w:style>
  <w:style w:type="paragraph" w:styleId="Footer">
    <w:name w:val="footer"/>
    <w:basedOn w:val="Normal"/>
    <w:link w:val="FooterChar"/>
    <w:uiPriority w:val="99"/>
    <w:unhideWhenUsed/>
    <w:rsid w:val="00D04F6D"/>
    <w:pPr>
      <w:tabs>
        <w:tab w:val="center" w:pos="4680"/>
        <w:tab w:val="right" w:pos="9360"/>
      </w:tabs>
      <w:spacing w:after="0" w:line="240" w:lineRule="auto"/>
    </w:pPr>
  </w:style>
  <w:style w:type="character" w:customStyle="1" w:styleId="FooterChar">
    <w:name w:val="Footer Char"/>
    <w:link w:val="Footer"/>
    <w:uiPriority w:val="99"/>
    <w:rsid w:val="00D04F6D"/>
    <w:rPr>
      <w:sz w:val="22"/>
      <w:szCs w:val="22"/>
    </w:rPr>
  </w:style>
  <w:style w:type="character" w:customStyle="1" w:styleId="Heading2Char">
    <w:name w:val="Heading 2 Char"/>
    <w:link w:val="Heading2"/>
    <w:uiPriority w:val="9"/>
    <w:semiHidden/>
    <w:rsid w:val="00482A4B"/>
    <w:rPr>
      <w:rFonts w:ascii="Calibri Light" w:eastAsia="SimSun" w:hAnsi="Calibri Light" w:cs="Times New Roman"/>
      <w:b/>
      <w:bCs/>
      <w:i/>
      <w:iCs/>
      <w:sz w:val="28"/>
      <w:szCs w:val="28"/>
      <w:lang w:eastAsia="en-US"/>
    </w:rPr>
  </w:style>
  <w:style w:type="table" w:styleId="GridTable1Light">
    <w:name w:val="Grid Table 1 Light"/>
    <w:basedOn w:val="TableNormal"/>
    <w:uiPriority w:val="46"/>
    <w:rsid w:val="008E570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E700F2"/>
    <w:rPr>
      <w:color w:val="954F72"/>
      <w:u w:val="single"/>
    </w:rPr>
  </w:style>
  <w:style w:type="character" w:customStyle="1" w:styleId="Heading3Char">
    <w:name w:val="Heading 3 Char"/>
    <w:link w:val="Heading3"/>
    <w:uiPriority w:val="9"/>
    <w:semiHidden/>
    <w:rsid w:val="006222BB"/>
    <w:rPr>
      <w:rFonts w:ascii="Calibri Light" w:eastAsia="SimSun" w:hAnsi="Calibri Light" w:cs="Times New Roman"/>
      <w:b/>
      <w:bCs/>
      <w:sz w:val="26"/>
      <w:szCs w:val="26"/>
      <w:lang w:eastAsia="en-US"/>
    </w:rPr>
  </w:style>
  <w:style w:type="table" w:customStyle="1" w:styleId="TableGrid1">
    <w:name w:val="Table Grid1"/>
    <w:basedOn w:val="TableNormal"/>
    <w:next w:val="TableGrid"/>
    <w:uiPriority w:val="59"/>
    <w:rsid w:val="00B62E7D"/>
    <w:pPr>
      <w:jc w:val="both"/>
    </w:pPr>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2E7D"/>
    <w:pPr>
      <w:spacing w:after="0" w:line="240" w:lineRule="auto"/>
      <w:jc w:val="both"/>
    </w:pPr>
    <w:rPr>
      <w:rFonts w:ascii="Times New Roman" w:hAnsi="Times New Roman"/>
      <w:sz w:val="20"/>
      <w:szCs w:val="20"/>
      <w:lang w:val="en-GB"/>
    </w:rPr>
  </w:style>
  <w:style w:type="character" w:customStyle="1" w:styleId="FootnoteTextChar">
    <w:name w:val="Footnote Text Char"/>
    <w:link w:val="FootnoteText"/>
    <w:uiPriority w:val="99"/>
    <w:semiHidden/>
    <w:rsid w:val="00B62E7D"/>
    <w:rPr>
      <w:rFonts w:ascii="Times New Roman" w:hAnsi="Times New Roman"/>
      <w:lang w:val="en-GB"/>
    </w:rPr>
  </w:style>
  <w:style w:type="character" w:styleId="FootnoteReference">
    <w:name w:val="footnote reference"/>
    <w:uiPriority w:val="99"/>
    <w:semiHidden/>
    <w:unhideWhenUsed/>
    <w:rsid w:val="00B62E7D"/>
    <w:rPr>
      <w:vertAlign w:val="superscript"/>
    </w:rPr>
  </w:style>
  <w:style w:type="paragraph" w:styleId="BodyTextIndent">
    <w:name w:val="Body Text Indent"/>
    <w:basedOn w:val="Normal"/>
    <w:link w:val="BodyTextIndentChar"/>
    <w:uiPriority w:val="99"/>
    <w:semiHidden/>
    <w:unhideWhenUsed/>
    <w:rsid w:val="00423555"/>
    <w:pPr>
      <w:spacing w:after="120"/>
      <w:ind w:left="360"/>
    </w:pPr>
  </w:style>
  <w:style w:type="character" w:customStyle="1" w:styleId="BodyTextIndentChar">
    <w:name w:val="Body Text Indent Char"/>
    <w:basedOn w:val="DefaultParagraphFont"/>
    <w:link w:val="BodyTextIndent"/>
    <w:uiPriority w:val="99"/>
    <w:semiHidden/>
    <w:rsid w:val="00423555"/>
    <w:rPr>
      <w:sz w:val="22"/>
      <w:szCs w:val="22"/>
      <w:lang w:val="en-US" w:eastAsia="en-US"/>
    </w:rPr>
  </w:style>
  <w:style w:type="paragraph" w:customStyle="1" w:styleId="Author">
    <w:name w:val="Author"/>
    <w:basedOn w:val="Normal"/>
    <w:next w:val="Normal"/>
    <w:rsid w:val="0042355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customStyle="1" w:styleId="Text">
    <w:name w:val="Text"/>
    <w:basedOn w:val="Normal"/>
    <w:rsid w:val="00E96B8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5479D"/>
    <w:rPr>
      <w:color w:val="808080"/>
    </w:rPr>
  </w:style>
  <w:style w:type="paragraph" w:customStyle="1" w:styleId="ReferenceHead">
    <w:name w:val="Reference Head"/>
    <w:basedOn w:val="Heading1"/>
    <w:rsid w:val="00D27D2F"/>
    <w:pPr>
      <w:keepLines w:val="0"/>
      <w:autoSpaceDE w:val="0"/>
      <w:autoSpaceDN w:val="0"/>
      <w:spacing w:before="240" w:after="80" w:line="240" w:lineRule="auto"/>
      <w:jc w:val="center"/>
    </w:pPr>
    <w:rPr>
      <w:rFonts w:ascii="Times New Roman" w:hAnsi="Times New Roman"/>
      <w:b w:val="0"/>
      <w:bCs w:val="0"/>
      <w:smallCaps/>
      <w:color w:val="auto"/>
      <w:kern w:val="28"/>
      <w:sz w:val="20"/>
      <w:szCs w:val="20"/>
      <w:lang w:eastAsia="en-US"/>
    </w:rPr>
  </w:style>
  <w:style w:type="paragraph" w:styleId="NoSpacing">
    <w:name w:val="No Spacing"/>
    <w:uiPriority w:val="1"/>
    <w:qFormat/>
    <w:rsid w:val="00193632"/>
    <w:rPr>
      <w:rFonts w:asciiTheme="minorHAnsi" w:eastAsiaTheme="minorHAnsi" w:hAnsiTheme="minorHAnsi" w:cstheme="minorBidi"/>
      <w:sz w:val="22"/>
      <w:szCs w:val="22"/>
      <w:lang w:val="en-SG" w:eastAsia="en-US"/>
    </w:rPr>
  </w:style>
  <w:style w:type="paragraph" w:customStyle="1" w:styleId="style14">
    <w:name w:val="style14"/>
    <w:basedOn w:val="Normal"/>
    <w:rsid w:val="00595710"/>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tyle18">
    <w:name w:val="style18"/>
    <w:basedOn w:val="DefaultParagraphFont"/>
    <w:rsid w:val="00595710"/>
  </w:style>
  <w:style w:type="table" w:styleId="LightShading">
    <w:name w:val="Light Shading"/>
    <w:basedOn w:val="TableNormal"/>
    <w:uiPriority w:val="60"/>
    <w:rsid w:val="00595710"/>
    <w:rPr>
      <w:rFonts w:ascii="Times New Roman" w:eastAsiaTheme="minorEastAsia" w:hAnsi="Times New Roman" w:cs="Times New Roman"/>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95710"/>
    <w:rPr>
      <w:i/>
      <w:iCs/>
    </w:rPr>
  </w:style>
  <w:style w:type="character" w:customStyle="1" w:styleId="Heading4Char">
    <w:name w:val="Heading 4 Char"/>
    <w:basedOn w:val="DefaultParagraphFont"/>
    <w:link w:val="Heading4"/>
    <w:uiPriority w:val="9"/>
    <w:semiHidden/>
    <w:rsid w:val="00961932"/>
    <w:rPr>
      <w:rFonts w:asciiTheme="majorHAnsi" w:eastAsiaTheme="majorEastAsia" w:hAnsiTheme="majorHAnsi" w:cstheme="majorBidi"/>
      <w:i/>
      <w:iCs/>
      <w:color w:val="2E74B5" w:themeColor="accent1" w:themeShade="BF"/>
      <w:sz w:val="22"/>
      <w:szCs w:val="22"/>
      <w:lang w:val="en-US" w:eastAsia="en-US"/>
    </w:rPr>
  </w:style>
  <w:style w:type="paragraph" w:customStyle="1" w:styleId="EndNoteBibliography">
    <w:name w:val="EndNote Bibliography"/>
    <w:basedOn w:val="Normal"/>
    <w:link w:val="EndNoteBibliographyChar"/>
    <w:rsid w:val="009B16CA"/>
    <w:pPr>
      <w:spacing w:line="240" w:lineRule="auto"/>
    </w:pPr>
    <w:rPr>
      <w:noProof/>
    </w:rPr>
  </w:style>
  <w:style w:type="character" w:customStyle="1" w:styleId="EndNoteBibliographyChar">
    <w:name w:val="EndNote Bibliography Char"/>
    <w:basedOn w:val="DefaultParagraphFont"/>
    <w:link w:val="EndNoteBibliography"/>
    <w:rsid w:val="009B16CA"/>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934">
      <w:bodyDiv w:val="1"/>
      <w:marLeft w:val="0"/>
      <w:marRight w:val="0"/>
      <w:marTop w:val="0"/>
      <w:marBottom w:val="0"/>
      <w:divBdr>
        <w:top w:val="none" w:sz="0" w:space="0" w:color="auto"/>
        <w:left w:val="none" w:sz="0" w:space="0" w:color="auto"/>
        <w:bottom w:val="none" w:sz="0" w:space="0" w:color="auto"/>
        <w:right w:val="none" w:sz="0" w:space="0" w:color="auto"/>
      </w:divBdr>
    </w:div>
    <w:div w:id="204946289">
      <w:bodyDiv w:val="1"/>
      <w:marLeft w:val="0"/>
      <w:marRight w:val="0"/>
      <w:marTop w:val="0"/>
      <w:marBottom w:val="0"/>
      <w:divBdr>
        <w:top w:val="none" w:sz="0" w:space="0" w:color="auto"/>
        <w:left w:val="none" w:sz="0" w:space="0" w:color="auto"/>
        <w:bottom w:val="none" w:sz="0" w:space="0" w:color="auto"/>
        <w:right w:val="none" w:sz="0" w:space="0" w:color="auto"/>
      </w:divBdr>
    </w:div>
    <w:div w:id="236669644">
      <w:bodyDiv w:val="1"/>
      <w:marLeft w:val="0"/>
      <w:marRight w:val="0"/>
      <w:marTop w:val="0"/>
      <w:marBottom w:val="0"/>
      <w:divBdr>
        <w:top w:val="none" w:sz="0" w:space="0" w:color="auto"/>
        <w:left w:val="none" w:sz="0" w:space="0" w:color="auto"/>
        <w:bottom w:val="none" w:sz="0" w:space="0" w:color="auto"/>
        <w:right w:val="none" w:sz="0" w:space="0" w:color="auto"/>
      </w:divBdr>
      <w:divsChild>
        <w:div w:id="922564018">
          <w:marLeft w:val="0"/>
          <w:marRight w:val="0"/>
          <w:marTop w:val="0"/>
          <w:marBottom w:val="0"/>
          <w:divBdr>
            <w:top w:val="none" w:sz="0" w:space="0" w:color="auto"/>
            <w:left w:val="none" w:sz="0" w:space="0" w:color="auto"/>
            <w:bottom w:val="none" w:sz="0" w:space="0" w:color="auto"/>
            <w:right w:val="none" w:sz="0" w:space="0" w:color="auto"/>
          </w:divBdr>
        </w:div>
      </w:divsChild>
    </w:div>
    <w:div w:id="245504518">
      <w:bodyDiv w:val="1"/>
      <w:marLeft w:val="0"/>
      <w:marRight w:val="0"/>
      <w:marTop w:val="0"/>
      <w:marBottom w:val="0"/>
      <w:divBdr>
        <w:top w:val="none" w:sz="0" w:space="0" w:color="auto"/>
        <w:left w:val="none" w:sz="0" w:space="0" w:color="auto"/>
        <w:bottom w:val="none" w:sz="0" w:space="0" w:color="auto"/>
        <w:right w:val="none" w:sz="0" w:space="0" w:color="auto"/>
      </w:divBdr>
    </w:div>
    <w:div w:id="292642789">
      <w:bodyDiv w:val="1"/>
      <w:marLeft w:val="0"/>
      <w:marRight w:val="0"/>
      <w:marTop w:val="0"/>
      <w:marBottom w:val="0"/>
      <w:divBdr>
        <w:top w:val="none" w:sz="0" w:space="0" w:color="auto"/>
        <w:left w:val="none" w:sz="0" w:space="0" w:color="auto"/>
        <w:bottom w:val="none" w:sz="0" w:space="0" w:color="auto"/>
        <w:right w:val="none" w:sz="0" w:space="0" w:color="auto"/>
      </w:divBdr>
    </w:div>
    <w:div w:id="301353153">
      <w:bodyDiv w:val="1"/>
      <w:marLeft w:val="0"/>
      <w:marRight w:val="0"/>
      <w:marTop w:val="0"/>
      <w:marBottom w:val="0"/>
      <w:divBdr>
        <w:top w:val="none" w:sz="0" w:space="0" w:color="auto"/>
        <w:left w:val="none" w:sz="0" w:space="0" w:color="auto"/>
        <w:bottom w:val="none" w:sz="0" w:space="0" w:color="auto"/>
        <w:right w:val="none" w:sz="0" w:space="0" w:color="auto"/>
      </w:divBdr>
    </w:div>
    <w:div w:id="338894527">
      <w:bodyDiv w:val="1"/>
      <w:marLeft w:val="0"/>
      <w:marRight w:val="0"/>
      <w:marTop w:val="0"/>
      <w:marBottom w:val="0"/>
      <w:divBdr>
        <w:top w:val="none" w:sz="0" w:space="0" w:color="auto"/>
        <w:left w:val="none" w:sz="0" w:space="0" w:color="auto"/>
        <w:bottom w:val="none" w:sz="0" w:space="0" w:color="auto"/>
        <w:right w:val="none" w:sz="0" w:space="0" w:color="auto"/>
      </w:divBdr>
    </w:div>
    <w:div w:id="341588455">
      <w:bodyDiv w:val="1"/>
      <w:marLeft w:val="0"/>
      <w:marRight w:val="0"/>
      <w:marTop w:val="0"/>
      <w:marBottom w:val="0"/>
      <w:divBdr>
        <w:top w:val="none" w:sz="0" w:space="0" w:color="auto"/>
        <w:left w:val="none" w:sz="0" w:space="0" w:color="auto"/>
        <w:bottom w:val="none" w:sz="0" w:space="0" w:color="auto"/>
        <w:right w:val="none" w:sz="0" w:space="0" w:color="auto"/>
      </w:divBdr>
      <w:divsChild>
        <w:div w:id="958072072">
          <w:marLeft w:val="0"/>
          <w:marRight w:val="0"/>
          <w:marTop w:val="0"/>
          <w:marBottom w:val="0"/>
          <w:divBdr>
            <w:top w:val="none" w:sz="0" w:space="0" w:color="auto"/>
            <w:left w:val="none" w:sz="0" w:space="0" w:color="auto"/>
            <w:bottom w:val="none" w:sz="0" w:space="0" w:color="auto"/>
            <w:right w:val="none" w:sz="0" w:space="0" w:color="auto"/>
          </w:divBdr>
        </w:div>
      </w:divsChild>
    </w:div>
    <w:div w:id="357588046">
      <w:bodyDiv w:val="1"/>
      <w:marLeft w:val="0"/>
      <w:marRight w:val="0"/>
      <w:marTop w:val="0"/>
      <w:marBottom w:val="0"/>
      <w:divBdr>
        <w:top w:val="none" w:sz="0" w:space="0" w:color="auto"/>
        <w:left w:val="none" w:sz="0" w:space="0" w:color="auto"/>
        <w:bottom w:val="none" w:sz="0" w:space="0" w:color="auto"/>
        <w:right w:val="none" w:sz="0" w:space="0" w:color="auto"/>
      </w:divBdr>
      <w:divsChild>
        <w:div w:id="1165361718">
          <w:marLeft w:val="0"/>
          <w:marRight w:val="0"/>
          <w:marTop w:val="0"/>
          <w:marBottom w:val="0"/>
          <w:divBdr>
            <w:top w:val="none" w:sz="0" w:space="0" w:color="auto"/>
            <w:left w:val="none" w:sz="0" w:space="0" w:color="auto"/>
            <w:bottom w:val="none" w:sz="0" w:space="0" w:color="auto"/>
            <w:right w:val="none" w:sz="0" w:space="0" w:color="auto"/>
          </w:divBdr>
        </w:div>
      </w:divsChild>
    </w:div>
    <w:div w:id="409160159">
      <w:bodyDiv w:val="1"/>
      <w:marLeft w:val="0"/>
      <w:marRight w:val="0"/>
      <w:marTop w:val="0"/>
      <w:marBottom w:val="0"/>
      <w:divBdr>
        <w:top w:val="none" w:sz="0" w:space="0" w:color="auto"/>
        <w:left w:val="none" w:sz="0" w:space="0" w:color="auto"/>
        <w:bottom w:val="none" w:sz="0" w:space="0" w:color="auto"/>
        <w:right w:val="none" w:sz="0" w:space="0" w:color="auto"/>
      </w:divBdr>
    </w:div>
    <w:div w:id="419257782">
      <w:bodyDiv w:val="1"/>
      <w:marLeft w:val="0"/>
      <w:marRight w:val="0"/>
      <w:marTop w:val="0"/>
      <w:marBottom w:val="0"/>
      <w:divBdr>
        <w:top w:val="none" w:sz="0" w:space="0" w:color="auto"/>
        <w:left w:val="none" w:sz="0" w:space="0" w:color="auto"/>
        <w:bottom w:val="none" w:sz="0" w:space="0" w:color="auto"/>
        <w:right w:val="none" w:sz="0" w:space="0" w:color="auto"/>
      </w:divBdr>
      <w:divsChild>
        <w:div w:id="237061919">
          <w:marLeft w:val="1166"/>
          <w:marRight w:val="0"/>
          <w:marTop w:val="96"/>
          <w:marBottom w:val="0"/>
          <w:divBdr>
            <w:top w:val="none" w:sz="0" w:space="0" w:color="auto"/>
            <w:left w:val="none" w:sz="0" w:space="0" w:color="auto"/>
            <w:bottom w:val="none" w:sz="0" w:space="0" w:color="auto"/>
            <w:right w:val="none" w:sz="0" w:space="0" w:color="auto"/>
          </w:divBdr>
        </w:div>
        <w:div w:id="319506788">
          <w:marLeft w:val="547"/>
          <w:marRight w:val="0"/>
          <w:marTop w:val="115"/>
          <w:marBottom w:val="0"/>
          <w:divBdr>
            <w:top w:val="none" w:sz="0" w:space="0" w:color="auto"/>
            <w:left w:val="none" w:sz="0" w:space="0" w:color="auto"/>
            <w:bottom w:val="none" w:sz="0" w:space="0" w:color="auto"/>
            <w:right w:val="none" w:sz="0" w:space="0" w:color="auto"/>
          </w:divBdr>
        </w:div>
        <w:div w:id="1099106154">
          <w:marLeft w:val="1166"/>
          <w:marRight w:val="0"/>
          <w:marTop w:val="96"/>
          <w:marBottom w:val="0"/>
          <w:divBdr>
            <w:top w:val="none" w:sz="0" w:space="0" w:color="auto"/>
            <w:left w:val="none" w:sz="0" w:space="0" w:color="auto"/>
            <w:bottom w:val="none" w:sz="0" w:space="0" w:color="auto"/>
            <w:right w:val="none" w:sz="0" w:space="0" w:color="auto"/>
          </w:divBdr>
        </w:div>
        <w:div w:id="1361978847">
          <w:marLeft w:val="1166"/>
          <w:marRight w:val="0"/>
          <w:marTop w:val="96"/>
          <w:marBottom w:val="0"/>
          <w:divBdr>
            <w:top w:val="none" w:sz="0" w:space="0" w:color="auto"/>
            <w:left w:val="none" w:sz="0" w:space="0" w:color="auto"/>
            <w:bottom w:val="none" w:sz="0" w:space="0" w:color="auto"/>
            <w:right w:val="none" w:sz="0" w:space="0" w:color="auto"/>
          </w:divBdr>
        </w:div>
        <w:div w:id="1526675354">
          <w:marLeft w:val="1166"/>
          <w:marRight w:val="0"/>
          <w:marTop w:val="96"/>
          <w:marBottom w:val="0"/>
          <w:divBdr>
            <w:top w:val="none" w:sz="0" w:space="0" w:color="auto"/>
            <w:left w:val="none" w:sz="0" w:space="0" w:color="auto"/>
            <w:bottom w:val="none" w:sz="0" w:space="0" w:color="auto"/>
            <w:right w:val="none" w:sz="0" w:space="0" w:color="auto"/>
          </w:divBdr>
        </w:div>
      </w:divsChild>
    </w:div>
    <w:div w:id="439647115">
      <w:bodyDiv w:val="1"/>
      <w:marLeft w:val="0"/>
      <w:marRight w:val="0"/>
      <w:marTop w:val="0"/>
      <w:marBottom w:val="0"/>
      <w:divBdr>
        <w:top w:val="none" w:sz="0" w:space="0" w:color="auto"/>
        <w:left w:val="none" w:sz="0" w:space="0" w:color="auto"/>
        <w:bottom w:val="none" w:sz="0" w:space="0" w:color="auto"/>
        <w:right w:val="none" w:sz="0" w:space="0" w:color="auto"/>
      </w:divBdr>
    </w:div>
    <w:div w:id="804079725">
      <w:bodyDiv w:val="1"/>
      <w:marLeft w:val="0"/>
      <w:marRight w:val="0"/>
      <w:marTop w:val="0"/>
      <w:marBottom w:val="0"/>
      <w:divBdr>
        <w:top w:val="none" w:sz="0" w:space="0" w:color="auto"/>
        <w:left w:val="none" w:sz="0" w:space="0" w:color="auto"/>
        <w:bottom w:val="none" w:sz="0" w:space="0" w:color="auto"/>
        <w:right w:val="none" w:sz="0" w:space="0" w:color="auto"/>
      </w:divBdr>
      <w:divsChild>
        <w:div w:id="75641288">
          <w:marLeft w:val="0"/>
          <w:marRight w:val="0"/>
          <w:marTop w:val="0"/>
          <w:marBottom w:val="0"/>
          <w:divBdr>
            <w:top w:val="none" w:sz="0" w:space="0" w:color="auto"/>
            <w:left w:val="none" w:sz="0" w:space="0" w:color="auto"/>
            <w:bottom w:val="none" w:sz="0" w:space="0" w:color="auto"/>
            <w:right w:val="none" w:sz="0" w:space="0" w:color="auto"/>
          </w:divBdr>
        </w:div>
      </w:divsChild>
    </w:div>
    <w:div w:id="839155110">
      <w:bodyDiv w:val="1"/>
      <w:marLeft w:val="0"/>
      <w:marRight w:val="0"/>
      <w:marTop w:val="0"/>
      <w:marBottom w:val="0"/>
      <w:divBdr>
        <w:top w:val="none" w:sz="0" w:space="0" w:color="auto"/>
        <w:left w:val="none" w:sz="0" w:space="0" w:color="auto"/>
        <w:bottom w:val="none" w:sz="0" w:space="0" w:color="auto"/>
        <w:right w:val="none" w:sz="0" w:space="0" w:color="auto"/>
      </w:divBdr>
      <w:divsChild>
        <w:div w:id="103237732">
          <w:marLeft w:val="0"/>
          <w:marRight w:val="0"/>
          <w:marTop w:val="0"/>
          <w:marBottom w:val="0"/>
          <w:divBdr>
            <w:top w:val="none" w:sz="0" w:space="0" w:color="auto"/>
            <w:left w:val="none" w:sz="0" w:space="0" w:color="auto"/>
            <w:bottom w:val="none" w:sz="0" w:space="0" w:color="auto"/>
            <w:right w:val="none" w:sz="0" w:space="0" w:color="auto"/>
          </w:divBdr>
        </w:div>
      </w:divsChild>
    </w:div>
    <w:div w:id="896160671">
      <w:bodyDiv w:val="1"/>
      <w:marLeft w:val="0"/>
      <w:marRight w:val="0"/>
      <w:marTop w:val="0"/>
      <w:marBottom w:val="0"/>
      <w:divBdr>
        <w:top w:val="none" w:sz="0" w:space="0" w:color="auto"/>
        <w:left w:val="none" w:sz="0" w:space="0" w:color="auto"/>
        <w:bottom w:val="none" w:sz="0" w:space="0" w:color="auto"/>
        <w:right w:val="none" w:sz="0" w:space="0" w:color="auto"/>
      </w:divBdr>
    </w:div>
    <w:div w:id="907958766">
      <w:bodyDiv w:val="1"/>
      <w:marLeft w:val="0"/>
      <w:marRight w:val="0"/>
      <w:marTop w:val="0"/>
      <w:marBottom w:val="0"/>
      <w:divBdr>
        <w:top w:val="none" w:sz="0" w:space="0" w:color="auto"/>
        <w:left w:val="none" w:sz="0" w:space="0" w:color="auto"/>
        <w:bottom w:val="none" w:sz="0" w:space="0" w:color="auto"/>
        <w:right w:val="none" w:sz="0" w:space="0" w:color="auto"/>
      </w:divBdr>
      <w:divsChild>
        <w:div w:id="422724176">
          <w:marLeft w:val="0"/>
          <w:marRight w:val="0"/>
          <w:marTop w:val="0"/>
          <w:marBottom w:val="0"/>
          <w:divBdr>
            <w:top w:val="none" w:sz="0" w:space="0" w:color="auto"/>
            <w:left w:val="none" w:sz="0" w:space="0" w:color="auto"/>
            <w:bottom w:val="none" w:sz="0" w:space="0" w:color="auto"/>
            <w:right w:val="none" w:sz="0" w:space="0" w:color="auto"/>
          </w:divBdr>
        </w:div>
      </w:divsChild>
    </w:div>
    <w:div w:id="915477989">
      <w:bodyDiv w:val="1"/>
      <w:marLeft w:val="0"/>
      <w:marRight w:val="0"/>
      <w:marTop w:val="0"/>
      <w:marBottom w:val="0"/>
      <w:divBdr>
        <w:top w:val="none" w:sz="0" w:space="0" w:color="auto"/>
        <w:left w:val="none" w:sz="0" w:space="0" w:color="auto"/>
        <w:bottom w:val="none" w:sz="0" w:space="0" w:color="auto"/>
        <w:right w:val="none" w:sz="0" w:space="0" w:color="auto"/>
      </w:divBdr>
    </w:div>
    <w:div w:id="922951216">
      <w:bodyDiv w:val="1"/>
      <w:marLeft w:val="0"/>
      <w:marRight w:val="0"/>
      <w:marTop w:val="0"/>
      <w:marBottom w:val="0"/>
      <w:divBdr>
        <w:top w:val="none" w:sz="0" w:space="0" w:color="auto"/>
        <w:left w:val="none" w:sz="0" w:space="0" w:color="auto"/>
        <w:bottom w:val="none" w:sz="0" w:space="0" w:color="auto"/>
        <w:right w:val="none" w:sz="0" w:space="0" w:color="auto"/>
      </w:divBdr>
    </w:div>
    <w:div w:id="991325346">
      <w:bodyDiv w:val="1"/>
      <w:marLeft w:val="0"/>
      <w:marRight w:val="0"/>
      <w:marTop w:val="0"/>
      <w:marBottom w:val="0"/>
      <w:divBdr>
        <w:top w:val="none" w:sz="0" w:space="0" w:color="auto"/>
        <w:left w:val="none" w:sz="0" w:space="0" w:color="auto"/>
        <w:bottom w:val="none" w:sz="0" w:space="0" w:color="auto"/>
        <w:right w:val="none" w:sz="0" w:space="0" w:color="auto"/>
      </w:divBdr>
    </w:div>
    <w:div w:id="1003123406">
      <w:bodyDiv w:val="1"/>
      <w:marLeft w:val="0"/>
      <w:marRight w:val="0"/>
      <w:marTop w:val="0"/>
      <w:marBottom w:val="0"/>
      <w:divBdr>
        <w:top w:val="none" w:sz="0" w:space="0" w:color="auto"/>
        <w:left w:val="none" w:sz="0" w:space="0" w:color="auto"/>
        <w:bottom w:val="none" w:sz="0" w:space="0" w:color="auto"/>
        <w:right w:val="none" w:sz="0" w:space="0" w:color="auto"/>
      </w:divBdr>
      <w:divsChild>
        <w:div w:id="789204242">
          <w:marLeft w:val="0"/>
          <w:marRight w:val="0"/>
          <w:marTop w:val="0"/>
          <w:marBottom w:val="0"/>
          <w:divBdr>
            <w:top w:val="none" w:sz="0" w:space="0" w:color="auto"/>
            <w:left w:val="none" w:sz="0" w:space="0" w:color="auto"/>
            <w:bottom w:val="none" w:sz="0" w:space="0" w:color="auto"/>
            <w:right w:val="none" w:sz="0" w:space="0" w:color="auto"/>
          </w:divBdr>
        </w:div>
      </w:divsChild>
    </w:div>
    <w:div w:id="1012728821">
      <w:bodyDiv w:val="1"/>
      <w:marLeft w:val="0"/>
      <w:marRight w:val="0"/>
      <w:marTop w:val="0"/>
      <w:marBottom w:val="0"/>
      <w:divBdr>
        <w:top w:val="none" w:sz="0" w:space="0" w:color="auto"/>
        <w:left w:val="none" w:sz="0" w:space="0" w:color="auto"/>
        <w:bottom w:val="none" w:sz="0" w:space="0" w:color="auto"/>
        <w:right w:val="none" w:sz="0" w:space="0" w:color="auto"/>
      </w:divBdr>
    </w:div>
    <w:div w:id="1035734299">
      <w:bodyDiv w:val="1"/>
      <w:marLeft w:val="0"/>
      <w:marRight w:val="0"/>
      <w:marTop w:val="0"/>
      <w:marBottom w:val="0"/>
      <w:divBdr>
        <w:top w:val="none" w:sz="0" w:space="0" w:color="auto"/>
        <w:left w:val="none" w:sz="0" w:space="0" w:color="auto"/>
        <w:bottom w:val="none" w:sz="0" w:space="0" w:color="auto"/>
        <w:right w:val="none" w:sz="0" w:space="0" w:color="auto"/>
      </w:divBdr>
      <w:divsChild>
        <w:div w:id="1712726147">
          <w:marLeft w:val="0"/>
          <w:marRight w:val="0"/>
          <w:marTop w:val="0"/>
          <w:marBottom w:val="0"/>
          <w:divBdr>
            <w:top w:val="none" w:sz="0" w:space="0" w:color="auto"/>
            <w:left w:val="none" w:sz="0" w:space="0" w:color="auto"/>
            <w:bottom w:val="none" w:sz="0" w:space="0" w:color="auto"/>
            <w:right w:val="none" w:sz="0" w:space="0" w:color="auto"/>
          </w:divBdr>
        </w:div>
      </w:divsChild>
    </w:div>
    <w:div w:id="1038433405">
      <w:bodyDiv w:val="1"/>
      <w:marLeft w:val="0"/>
      <w:marRight w:val="0"/>
      <w:marTop w:val="0"/>
      <w:marBottom w:val="0"/>
      <w:divBdr>
        <w:top w:val="none" w:sz="0" w:space="0" w:color="auto"/>
        <w:left w:val="none" w:sz="0" w:space="0" w:color="auto"/>
        <w:bottom w:val="none" w:sz="0" w:space="0" w:color="auto"/>
        <w:right w:val="none" w:sz="0" w:space="0" w:color="auto"/>
      </w:divBdr>
    </w:div>
    <w:div w:id="1082947833">
      <w:bodyDiv w:val="1"/>
      <w:marLeft w:val="0"/>
      <w:marRight w:val="0"/>
      <w:marTop w:val="0"/>
      <w:marBottom w:val="0"/>
      <w:divBdr>
        <w:top w:val="none" w:sz="0" w:space="0" w:color="auto"/>
        <w:left w:val="none" w:sz="0" w:space="0" w:color="auto"/>
        <w:bottom w:val="none" w:sz="0" w:space="0" w:color="auto"/>
        <w:right w:val="none" w:sz="0" w:space="0" w:color="auto"/>
      </w:divBdr>
    </w:div>
    <w:div w:id="1085539825">
      <w:bodyDiv w:val="1"/>
      <w:marLeft w:val="0"/>
      <w:marRight w:val="0"/>
      <w:marTop w:val="0"/>
      <w:marBottom w:val="0"/>
      <w:divBdr>
        <w:top w:val="none" w:sz="0" w:space="0" w:color="auto"/>
        <w:left w:val="none" w:sz="0" w:space="0" w:color="auto"/>
        <w:bottom w:val="none" w:sz="0" w:space="0" w:color="auto"/>
        <w:right w:val="none" w:sz="0" w:space="0" w:color="auto"/>
      </w:divBdr>
      <w:divsChild>
        <w:div w:id="1297877159">
          <w:marLeft w:val="0"/>
          <w:marRight w:val="0"/>
          <w:marTop w:val="0"/>
          <w:marBottom w:val="0"/>
          <w:divBdr>
            <w:top w:val="none" w:sz="0" w:space="0" w:color="auto"/>
            <w:left w:val="none" w:sz="0" w:space="0" w:color="auto"/>
            <w:bottom w:val="none" w:sz="0" w:space="0" w:color="auto"/>
            <w:right w:val="none" w:sz="0" w:space="0" w:color="auto"/>
          </w:divBdr>
        </w:div>
      </w:divsChild>
    </w:div>
    <w:div w:id="1172526542">
      <w:bodyDiv w:val="1"/>
      <w:marLeft w:val="0"/>
      <w:marRight w:val="0"/>
      <w:marTop w:val="0"/>
      <w:marBottom w:val="0"/>
      <w:divBdr>
        <w:top w:val="none" w:sz="0" w:space="0" w:color="auto"/>
        <w:left w:val="none" w:sz="0" w:space="0" w:color="auto"/>
        <w:bottom w:val="none" w:sz="0" w:space="0" w:color="auto"/>
        <w:right w:val="none" w:sz="0" w:space="0" w:color="auto"/>
      </w:divBdr>
    </w:div>
    <w:div w:id="1180125487">
      <w:bodyDiv w:val="1"/>
      <w:marLeft w:val="0"/>
      <w:marRight w:val="0"/>
      <w:marTop w:val="0"/>
      <w:marBottom w:val="0"/>
      <w:divBdr>
        <w:top w:val="none" w:sz="0" w:space="0" w:color="auto"/>
        <w:left w:val="none" w:sz="0" w:space="0" w:color="auto"/>
        <w:bottom w:val="none" w:sz="0" w:space="0" w:color="auto"/>
        <w:right w:val="none" w:sz="0" w:space="0" w:color="auto"/>
      </w:divBdr>
      <w:divsChild>
        <w:div w:id="679813226">
          <w:marLeft w:val="0"/>
          <w:marRight w:val="0"/>
          <w:marTop w:val="0"/>
          <w:marBottom w:val="0"/>
          <w:divBdr>
            <w:top w:val="none" w:sz="0" w:space="0" w:color="auto"/>
            <w:left w:val="none" w:sz="0" w:space="0" w:color="auto"/>
            <w:bottom w:val="none" w:sz="0" w:space="0" w:color="auto"/>
            <w:right w:val="none" w:sz="0" w:space="0" w:color="auto"/>
          </w:divBdr>
        </w:div>
      </w:divsChild>
    </w:div>
    <w:div w:id="1197498907">
      <w:bodyDiv w:val="1"/>
      <w:marLeft w:val="0"/>
      <w:marRight w:val="0"/>
      <w:marTop w:val="0"/>
      <w:marBottom w:val="0"/>
      <w:divBdr>
        <w:top w:val="none" w:sz="0" w:space="0" w:color="auto"/>
        <w:left w:val="none" w:sz="0" w:space="0" w:color="auto"/>
        <w:bottom w:val="none" w:sz="0" w:space="0" w:color="auto"/>
        <w:right w:val="none" w:sz="0" w:space="0" w:color="auto"/>
      </w:divBdr>
    </w:div>
    <w:div w:id="1265532814">
      <w:bodyDiv w:val="1"/>
      <w:marLeft w:val="0"/>
      <w:marRight w:val="0"/>
      <w:marTop w:val="0"/>
      <w:marBottom w:val="0"/>
      <w:divBdr>
        <w:top w:val="none" w:sz="0" w:space="0" w:color="auto"/>
        <w:left w:val="none" w:sz="0" w:space="0" w:color="auto"/>
        <w:bottom w:val="none" w:sz="0" w:space="0" w:color="auto"/>
        <w:right w:val="none" w:sz="0" w:space="0" w:color="auto"/>
      </w:divBdr>
    </w:div>
    <w:div w:id="1297642357">
      <w:bodyDiv w:val="1"/>
      <w:marLeft w:val="0"/>
      <w:marRight w:val="0"/>
      <w:marTop w:val="0"/>
      <w:marBottom w:val="0"/>
      <w:divBdr>
        <w:top w:val="none" w:sz="0" w:space="0" w:color="auto"/>
        <w:left w:val="none" w:sz="0" w:space="0" w:color="auto"/>
        <w:bottom w:val="none" w:sz="0" w:space="0" w:color="auto"/>
        <w:right w:val="none" w:sz="0" w:space="0" w:color="auto"/>
      </w:divBdr>
      <w:divsChild>
        <w:div w:id="752821604">
          <w:marLeft w:val="0"/>
          <w:marRight w:val="0"/>
          <w:marTop w:val="0"/>
          <w:marBottom w:val="0"/>
          <w:divBdr>
            <w:top w:val="none" w:sz="0" w:space="0" w:color="auto"/>
            <w:left w:val="none" w:sz="0" w:space="0" w:color="auto"/>
            <w:bottom w:val="none" w:sz="0" w:space="0" w:color="auto"/>
            <w:right w:val="none" w:sz="0" w:space="0" w:color="auto"/>
          </w:divBdr>
        </w:div>
      </w:divsChild>
    </w:div>
    <w:div w:id="1321617112">
      <w:bodyDiv w:val="1"/>
      <w:marLeft w:val="0"/>
      <w:marRight w:val="0"/>
      <w:marTop w:val="0"/>
      <w:marBottom w:val="0"/>
      <w:divBdr>
        <w:top w:val="none" w:sz="0" w:space="0" w:color="auto"/>
        <w:left w:val="none" w:sz="0" w:space="0" w:color="auto"/>
        <w:bottom w:val="none" w:sz="0" w:space="0" w:color="auto"/>
        <w:right w:val="none" w:sz="0" w:space="0" w:color="auto"/>
      </w:divBdr>
    </w:div>
    <w:div w:id="1439370065">
      <w:bodyDiv w:val="1"/>
      <w:marLeft w:val="0"/>
      <w:marRight w:val="0"/>
      <w:marTop w:val="0"/>
      <w:marBottom w:val="0"/>
      <w:divBdr>
        <w:top w:val="none" w:sz="0" w:space="0" w:color="auto"/>
        <w:left w:val="none" w:sz="0" w:space="0" w:color="auto"/>
        <w:bottom w:val="none" w:sz="0" w:space="0" w:color="auto"/>
        <w:right w:val="none" w:sz="0" w:space="0" w:color="auto"/>
      </w:divBdr>
    </w:div>
    <w:div w:id="1466313660">
      <w:bodyDiv w:val="1"/>
      <w:marLeft w:val="0"/>
      <w:marRight w:val="0"/>
      <w:marTop w:val="0"/>
      <w:marBottom w:val="0"/>
      <w:divBdr>
        <w:top w:val="none" w:sz="0" w:space="0" w:color="auto"/>
        <w:left w:val="none" w:sz="0" w:space="0" w:color="auto"/>
        <w:bottom w:val="none" w:sz="0" w:space="0" w:color="auto"/>
        <w:right w:val="none" w:sz="0" w:space="0" w:color="auto"/>
      </w:divBdr>
    </w:div>
    <w:div w:id="1479498719">
      <w:bodyDiv w:val="1"/>
      <w:marLeft w:val="0"/>
      <w:marRight w:val="0"/>
      <w:marTop w:val="0"/>
      <w:marBottom w:val="0"/>
      <w:divBdr>
        <w:top w:val="none" w:sz="0" w:space="0" w:color="auto"/>
        <w:left w:val="none" w:sz="0" w:space="0" w:color="auto"/>
        <w:bottom w:val="none" w:sz="0" w:space="0" w:color="auto"/>
        <w:right w:val="none" w:sz="0" w:space="0" w:color="auto"/>
      </w:divBdr>
    </w:div>
    <w:div w:id="1535343330">
      <w:bodyDiv w:val="1"/>
      <w:marLeft w:val="0"/>
      <w:marRight w:val="0"/>
      <w:marTop w:val="0"/>
      <w:marBottom w:val="0"/>
      <w:divBdr>
        <w:top w:val="none" w:sz="0" w:space="0" w:color="auto"/>
        <w:left w:val="none" w:sz="0" w:space="0" w:color="auto"/>
        <w:bottom w:val="none" w:sz="0" w:space="0" w:color="auto"/>
        <w:right w:val="none" w:sz="0" w:space="0" w:color="auto"/>
      </w:divBdr>
    </w:div>
    <w:div w:id="1586107058">
      <w:bodyDiv w:val="1"/>
      <w:marLeft w:val="0"/>
      <w:marRight w:val="0"/>
      <w:marTop w:val="0"/>
      <w:marBottom w:val="0"/>
      <w:divBdr>
        <w:top w:val="none" w:sz="0" w:space="0" w:color="auto"/>
        <w:left w:val="none" w:sz="0" w:space="0" w:color="auto"/>
        <w:bottom w:val="none" w:sz="0" w:space="0" w:color="auto"/>
        <w:right w:val="none" w:sz="0" w:space="0" w:color="auto"/>
      </w:divBdr>
      <w:divsChild>
        <w:div w:id="2020809393">
          <w:marLeft w:val="0"/>
          <w:marRight w:val="0"/>
          <w:marTop w:val="0"/>
          <w:marBottom w:val="0"/>
          <w:divBdr>
            <w:top w:val="none" w:sz="0" w:space="0" w:color="auto"/>
            <w:left w:val="none" w:sz="0" w:space="0" w:color="auto"/>
            <w:bottom w:val="none" w:sz="0" w:space="0" w:color="auto"/>
            <w:right w:val="none" w:sz="0" w:space="0" w:color="auto"/>
          </w:divBdr>
        </w:div>
      </w:divsChild>
    </w:div>
    <w:div w:id="1620377782">
      <w:bodyDiv w:val="1"/>
      <w:marLeft w:val="0"/>
      <w:marRight w:val="0"/>
      <w:marTop w:val="0"/>
      <w:marBottom w:val="0"/>
      <w:divBdr>
        <w:top w:val="none" w:sz="0" w:space="0" w:color="auto"/>
        <w:left w:val="none" w:sz="0" w:space="0" w:color="auto"/>
        <w:bottom w:val="none" w:sz="0" w:space="0" w:color="auto"/>
        <w:right w:val="none" w:sz="0" w:space="0" w:color="auto"/>
      </w:divBdr>
    </w:div>
    <w:div w:id="1710177242">
      <w:bodyDiv w:val="1"/>
      <w:marLeft w:val="0"/>
      <w:marRight w:val="0"/>
      <w:marTop w:val="0"/>
      <w:marBottom w:val="0"/>
      <w:divBdr>
        <w:top w:val="none" w:sz="0" w:space="0" w:color="auto"/>
        <w:left w:val="none" w:sz="0" w:space="0" w:color="auto"/>
        <w:bottom w:val="none" w:sz="0" w:space="0" w:color="auto"/>
        <w:right w:val="none" w:sz="0" w:space="0" w:color="auto"/>
      </w:divBdr>
    </w:div>
    <w:div w:id="1866869534">
      <w:bodyDiv w:val="1"/>
      <w:marLeft w:val="0"/>
      <w:marRight w:val="0"/>
      <w:marTop w:val="0"/>
      <w:marBottom w:val="0"/>
      <w:divBdr>
        <w:top w:val="none" w:sz="0" w:space="0" w:color="auto"/>
        <w:left w:val="none" w:sz="0" w:space="0" w:color="auto"/>
        <w:bottom w:val="none" w:sz="0" w:space="0" w:color="auto"/>
        <w:right w:val="none" w:sz="0" w:space="0" w:color="auto"/>
      </w:divBdr>
      <w:divsChild>
        <w:div w:id="2095661626">
          <w:marLeft w:val="0"/>
          <w:marRight w:val="0"/>
          <w:marTop w:val="0"/>
          <w:marBottom w:val="0"/>
          <w:divBdr>
            <w:top w:val="none" w:sz="0" w:space="0" w:color="auto"/>
            <w:left w:val="none" w:sz="0" w:space="0" w:color="auto"/>
            <w:bottom w:val="none" w:sz="0" w:space="0" w:color="auto"/>
            <w:right w:val="none" w:sz="0" w:space="0" w:color="auto"/>
          </w:divBdr>
        </w:div>
      </w:divsChild>
    </w:div>
    <w:div w:id="1907884369">
      <w:bodyDiv w:val="1"/>
      <w:marLeft w:val="0"/>
      <w:marRight w:val="0"/>
      <w:marTop w:val="0"/>
      <w:marBottom w:val="0"/>
      <w:divBdr>
        <w:top w:val="none" w:sz="0" w:space="0" w:color="auto"/>
        <w:left w:val="none" w:sz="0" w:space="0" w:color="auto"/>
        <w:bottom w:val="none" w:sz="0" w:space="0" w:color="auto"/>
        <w:right w:val="none" w:sz="0" w:space="0" w:color="auto"/>
      </w:divBdr>
    </w:div>
    <w:div w:id="1930000911">
      <w:bodyDiv w:val="1"/>
      <w:marLeft w:val="0"/>
      <w:marRight w:val="0"/>
      <w:marTop w:val="0"/>
      <w:marBottom w:val="0"/>
      <w:divBdr>
        <w:top w:val="none" w:sz="0" w:space="0" w:color="auto"/>
        <w:left w:val="none" w:sz="0" w:space="0" w:color="auto"/>
        <w:bottom w:val="none" w:sz="0" w:space="0" w:color="auto"/>
        <w:right w:val="none" w:sz="0" w:space="0" w:color="auto"/>
      </w:divBdr>
    </w:div>
    <w:div w:id="1999385592">
      <w:bodyDiv w:val="1"/>
      <w:marLeft w:val="0"/>
      <w:marRight w:val="0"/>
      <w:marTop w:val="0"/>
      <w:marBottom w:val="0"/>
      <w:divBdr>
        <w:top w:val="none" w:sz="0" w:space="0" w:color="auto"/>
        <w:left w:val="none" w:sz="0" w:space="0" w:color="auto"/>
        <w:bottom w:val="none" w:sz="0" w:space="0" w:color="auto"/>
        <w:right w:val="none" w:sz="0" w:space="0" w:color="auto"/>
      </w:divBdr>
    </w:div>
    <w:div w:id="2023241011">
      <w:bodyDiv w:val="1"/>
      <w:marLeft w:val="0"/>
      <w:marRight w:val="0"/>
      <w:marTop w:val="0"/>
      <w:marBottom w:val="0"/>
      <w:divBdr>
        <w:top w:val="none" w:sz="0" w:space="0" w:color="auto"/>
        <w:left w:val="none" w:sz="0" w:space="0" w:color="auto"/>
        <w:bottom w:val="none" w:sz="0" w:space="0" w:color="auto"/>
        <w:right w:val="none" w:sz="0" w:space="0" w:color="auto"/>
      </w:divBdr>
    </w:div>
    <w:div w:id="2069067829">
      <w:bodyDiv w:val="1"/>
      <w:marLeft w:val="0"/>
      <w:marRight w:val="0"/>
      <w:marTop w:val="0"/>
      <w:marBottom w:val="0"/>
      <w:divBdr>
        <w:top w:val="none" w:sz="0" w:space="0" w:color="auto"/>
        <w:left w:val="none" w:sz="0" w:space="0" w:color="auto"/>
        <w:bottom w:val="none" w:sz="0" w:space="0" w:color="auto"/>
        <w:right w:val="none" w:sz="0" w:space="0" w:color="auto"/>
      </w:divBdr>
    </w:div>
    <w:div w:id="2076932120">
      <w:bodyDiv w:val="1"/>
      <w:marLeft w:val="0"/>
      <w:marRight w:val="0"/>
      <w:marTop w:val="0"/>
      <w:marBottom w:val="0"/>
      <w:divBdr>
        <w:top w:val="none" w:sz="0" w:space="0" w:color="auto"/>
        <w:left w:val="none" w:sz="0" w:space="0" w:color="auto"/>
        <w:bottom w:val="none" w:sz="0" w:space="0" w:color="auto"/>
        <w:right w:val="none" w:sz="0" w:space="0" w:color="auto"/>
      </w:divBdr>
      <w:divsChild>
        <w:div w:id="352263473">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A93D-C10F-47FB-AE38-2B76175A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Improving Safety Condition in Construction Projects in Iran</vt:lpstr>
    </vt:vector>
  </TitlesOfParts>
  <Company>Hewlett-Packard</Company>
  <LinksUpToDate>false</LinksUpToDate>
  <CharactersWithSpaces>13163</CharactersWithSpaces>
  <SharedDoc>false</SharedDoc>
  <HLinks>
    <vt:vector size="12" baseType="variant">
      <vt:variant>
        <vt:i4>6094938</vt:i4>
      </vt:variant>
      <vt:variant>
        <vt:i4>3</vt:i4>
      </vt:variant>
      <vt:variant>
        <vt:i4>0</vt:i4>
      </vt:variant>
      <vt:variant>
        <vt:i4>5</vt:i4>
      </vt:variant>
      <vt:variant>
        <vt:lpwstr>http://www.humanresourcesonline.net/malaysias-construction-industry-faces-manpower-shortage/</vt:lpwstr>
      </vt:variant>
      <vt:variant>
        <vt:lpwstr/>
      </vt:variant>
      <vt:variant>
        <vt:i4>4784197</vt:i4>
      </vt:variant>
      <vt:variant>
        <vt:i4>0</vt:i4>
      </vt:variant>
      <vt:variant>
        <vt:i4>0</vt:i4>
      </vt:variant>
      <vt:variant>
        <vt:i4>5</vt:i4>
      </vt:variant>
      <vt:variant>
        <vt:lpwstr>http://industry.might.org.my/en/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Safety Condition in Construction Projects in Iran</dc:title>
  <dc:subject/>
  <dc:creator>user</dc:creator>
  <cp:keywords/>
  <cp:lastModifiedBy>DrNoraz</cp:lastModifiedBy>
  <cp:revision>2</cp:revision>
  <cp:lastPrinted>2018-07-01T11:33:00Z</cp:lastPrinted>
  <dcterms:created xsi:type="dcterms:W3CDTF">2018-07-01T13:29:00Z</dcterms:created>
  <dcterms:modified xsi:type="dcterms:W3CDTF">2018-07-01T13:29:00Z</dcterms:modified>
</cp:coreProperties>
</file>